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73C3F" w14:textId="77777777" w:rsidR="00F66B42" w:rsidRDefault="00F66B42"/>
    <w:p w14:paraId="59BF3F56" w14:textId="77777777" w:rsidR="00F66B42" w:rsidRDefault="00000000">
      <w:pPr>
        <w:spacing w:before="32" w:line="278" w:lineRule="auto"/>
        <w:ind w:left="118" w:right="4200"/>
        <w:rPr>
          <w:sz w:val="18"/>
          <w:szCs w:val="18"/>
        </w:rPr>
      </w:pPr>
      <w:r>
        <w:rPr>
          <w:sz w:val="18"/>
          <w:szCs w:val="18"/>
        </w:rPr>
        <w:t xml:space="preserve">ISSN 2549-113X, E-ISSN 2580-166X </w:t>
      </w:r>
    </w:p>
    <w:p w14:paraId="18EDA93A" w14:textId="77777777" w:rsidR="00F66B42" w:rsidRDefault="00000000">
      <w:pPr>
        <w:spacing w:before="32" w:line="278" w:lineRule="auto"/>
        <w:ind w:left="118" w:right="4645"/>
        <w:rPr>
          <w:sz w:val="18"/>
          <w:szCs w:val="18"/>
        </w:rPr>
      </w:pPr>
      <w:r>
        <w:rPr>
          <w:sz w:val="18"/>
          <w:szCs w:val="18"/>
        </w:rPr>
        <w:t xml:space="preserve">Vol.xx </w:t>
      </w:r>
      <w:proofErr w:type="gramStart"/>
      <w:r>
        <w:rPr>
          <w:sz w:val="18"/>
          <w:szCs w:val="18"/>
        </w:rPr>
        <w:t>No.xx</w:t>
      </w:r>
      <w:proofErr w:type="gramEnd"/>
      <w:r>
        <w:rPr>
          <w:sz w:val="18"/>
          <w:szCs w:val="18"/>
        </w:rPr>
        <w:t>(20xx) (diisi editor)</w:t>
      </w:r>
    </w:p>
    <w:p w14:paraId="7081C785" w14:textId="77777777" w:rsidR="00F66B42" w:rsidRDefault="00000000">
      <w:pPr>
        <w:pBdr>
          <w:top w:val="nil"/>
          <w:left w:val="nil"/>
          <w:bottom w:val="nil"/>
          <w:right w:val="nil"/>
          <w:between w:val="nil"/>
        </w:pBdr>
        <w:spacing w:before="7"/>
        <w:rPr>
          <w:color w:val="000000"/>
          <w:sz w:val="12"/>
          <w:szCs w:val="12"/>
        </w:rPr>
      </w:pPr>
      <w:r>
        <w:rPr>
          <w:noProof/>
        </w:rPr>
        <mc:AlternateContent>
          <mc:Choice Requires="wps">
            <w:drawing>
              <wp:anchor distT="0" distB="0" distL="114300" distR="114300" simplePos="0" relativeHeight="251658240" behindDoc="0" locked="0" layoutInCell="1" hidden="0" allowOverlap="1" wp14:anchorId="2B151E67" wp14:editId="643C2930">
                <wp:simplePos x="0" y="0"/>
                <wp:positionH relativeFrom="column">
                  <wp:posOffset>76201</wp:posOffset>
                </wp:positionH>
                <wp:positionV relativeFrom="paragraph">
                  <wp:posOffset>127000</wp:posOffset>
                </wp:positionV>
                <wp:extent cx="1270" cy="19050"/>
                <wp:effectExtent l="0" t="0" r="0" b="0"/>
                <wp:wrapTopAndBottom distT="0" distB="0"/>
                <wp:docPr id="25" name="Freeform: Shape 25"/>
                <wp:cNvGraphicFramePr/>
                <a:graphic xmlns:a="http://schemas.openxmlformats.org/drawingml/2006/main">
                  <a:graphicData uri="http://schemas.microsoft.com/office/word/2010/wordprocessingShape">
                    <wps:wsp>
                      <wps:cNvSpPr/>
                      <wps:spPr>
                        <a:xfrm>
                          <a:off x="2966020" y="3779365"/>
                          <a:ext cx="4759960" cy="1270"/>
                        </a:xfrm>
                        <a:custGeom>
                          <a:avLst/>
                          <a:gdLst/>
                          <a:ahLst/>
                          <a:cxnLst/>
                          <a:rect l="l" t="t" r="r" b="b"/>
                          <a:pathLst>
                            <a:path w="7496" h="120000" extrusionOk="0">
                              <a:moveTo>
                                <a:pt x="0" y="0"/>
                              </a:moveTo>
                              <a:lnTo>
                                <a:pt x="7496" y="0"/>
                              </a:lnTo>
                            </a:path>
                          </a:pathLst>
                        </a:custGeom>
                        <a:noFill/>
                        <a:ln w="19050" cap="flat" cmpd="sng">
                          <a:solidFill>
                            <a:srgbClr val="746F6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1270" cy="19050"/>
                <wp:effectExtent b="0" l="0" r="0" t="0"/>
                <wp:wrapTopAndBottom distB="0" distT="0"/>
                <wp:docPr id="2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270" cy="19050"/>
                        </a:xfrm>
                        <a:prstGeom prst="rect"/>
                        <a:ln/>
                      </pic:spPr>
                    </pic:pic>
                  </a:graphicData>
                </a:graphic>
              </wp:anchor>
            </w:drawing>
          </mc:Fallback>
        </mc:AlternateContent>
      </w:r>
    </w:p>
    <w:p w14:paraId="0FD1F7D8" w14:textId="078CCC3F" w:rsidR="00F25BC2" w:rsidRDefault="00F25BC2" w:rsidP="0070137E">
      <w:pPr>
        <w:widowControl/>
        <w:pBdr>
          <w:top w:val="none" w:sz="0" w:space="0" w:color="000000"/>
          <w:left w:val="none" w:sz="0" w:space="0" w:color="000000"/>
          <w:bottom w:val="none" w:sz="0" w:space="0" w:color="000000"/>
          <w:right w:val="none" w:sz="0" w:space="0" w:color="000000"/>
          <w:between w:val="nil"/>
        </w:pBdr>
        <w:ind w:left="709"/>
        <w:jc w:val="both"/>
        <w:rPr>
          <w:rFonts w:ascii="Times New Roman" w:eastAsia="Times New Roman" w:hAnsi="Times New Roman" w:cs="Times New Roman"/>
          <w:b/>
          <w:sz w:val="26"/>
          <w:szCs w:val="26"/>
        </w:rPr>
      </w:pPr>
      <w:r w:rsidRPr="00F25BC2">
        <w:rPr>
          <w:rFonts w:ascii="Times New Roman" w:eastAsia="Times New Roman" w:hAnsi="Times New Roman" w:cs="Times New Roman"/>
          <w:b/>
          <w:sz w:val="26"/>
          <w:szCs w:val="26"/>
        </w:rPr>
        <w:t>KARAKTERISTIK INTANGIBLE ASSET HAK CIPTA SEBAGAI JAMINAN KEBENDAAN</w:t>
      </w:r>
    </w:p>
    <w:p w14:paraId="4F4445DA" w14:textId="77777777" w:rsidR="0070137E" w:rsidRDefault="0070137E" w:rsidP="0070137E">
      <w:pPr>
        <w:widowControl/>
        <w:pBdr>
          <w:top w:val="none" w:sz="0" w:space="0" w:color="000000"/>
          <w:left w:val="none" w:sz="0" w:space="0" w:color="000000"/>
          <w:bottom w:val="none" w:sz="0" w:space="0" w:color="000000"/>
          <w:right w:val="none" w:sz="0" w:space="0" w:color="000000"/>
          <w:between w:val="nil"/>
        </w:pBdr>
        <w:ind w:left="709"/>
        <w:jc w:val="both"/>
        <w:rPr>
          <w:rFonts w:ascii="Times New Roman" w:eastAsia="Times New Roman" w:hAnsi="Times New Roman" w:cs="Times New Roman"/>
          <w:b/>
          <w:sz w:val="26"/>
          <w:szCs w:val="26"/>
        </w:rPr>
      </w:pPr>
    </w:p>
    <w:p w14:paraId="18945156" w14:textId="77777777" w:rsidR="00F25BC2" w:rsidRDefault="00F25BC2">
      <w:pPr>
        <w:widowControl/>
        <w:pBdr>
          <w:top w:val="none" w:sz="0" w:space="0" w:color="000000"/>
          <w:left w:val="none" w:sz="0" w:space="0" w:color="000000"/>
          <w:bottom w:val="none" w:sz="0" w:space="0" w:color="000000"/>
          <w:right w:val="none" w:sz="0" w:space="0" w:color="000000"/>
          <w:between w:val="nil"/>
        </w:pBdr>
        <w:ind w:firstLine="720"/>
        <w:jc w:val="both"/>
        <w:rPr>
          <w:rFonts w:ascii="Times New Roman" w:eastAsia="Times New Roman" w:hAnsi="Times New Roman" w:cs="Times New Roman"/>
        </w:rPr>
      </w:pPr>
      <w:r w:rsidRPr="00F25BC2">
        <w:rPr>
          <w:rFonts w:ascii="Times New Roman" w:eastAsia="Times New Roman" w:hAnsi="Times New Roman" w:cs="Times New Roman"/>
        </w:rPr>
        <w:t xml:space="preserve">Eka Priambodo </w:t>
      </w:r>
    </w:p>
    <w:p w14:paraId="4385F5BB" w14:textId="117B2ADF" w:rsidR="00F66B42" w:rsidRDefault="00000000">
      <w:pPr>
        <w:widowControl/>
        <w:pBdr>
          <w:top w:val="none" w:sz="0" w:space="0" w:color="000000"/>
          <w:left w:val="none" w:sz="0" w:space="0" w:color="000000"/>
          <w:bottom w:val="none" w:sz="0" w:space="0" w:color="000000"/>
          <w:right w:val="none" w:sz="0" w:space="0" w:color="000000"/>
          <w:between w:val="nil"/>
        </w:pBdr>
        <w:ind w:firstLine="720"/>
        <w:jc w:val="both"/>
        <w:rPr>
          <w:rFonts w:ascii="Times New Roman" w:eastAsia="Times New Roman" w:hAnsi="Times New Roman" w:cs="Times New Roman"/>
        </w:rPr>
      </w:pPr>
      <w:r>
        <w:rPr>
          <w:rFonts w:ascii="Times New Roman" w:eastAsia="Times New Roman" w:hAnsi="Times New Roman" w:cs="Times New Roman"/>
        </w:rPr>
        <w:t xml:space="preserve">Fakultas Hukum, Universitas </w:t>
      </w:r>
      <w:r w:rsidR="00F25BC2">
        <w:rPr>
          <w:rFonts w:ascii="Times New Roman" w:eastAsia="Times New Roman" w:hAnsi="Times New Roman" w:cs="Times New Roman"/>
        </w:rPr>
        <w:t>Cokroaminoto</w:t>
      </w:r>
      <w:r>
        <w:rPr>
          <w:rFonts w:ascii="Times New Roman" w:eastAsia="Times New Roman" w:hAnsi="Times New Roman" w:cs="Times New Roman"/>
        </w:rPr>
        <w:t xml:space="preserve"> Yogyakarta, Indonesia,</w:t>
      </w:r>
    </w:p>
    <w:p w14:paraId="3F375D16" w14:textId="51F58431" w:rsidR="00F66B42" w:rsidRDefault="00F25BC2" w:rsidP="00F25BC2">
      <w:pPr>
        <w:widowControl/>
        <w:pBdr>
          <w:top w:val="none" w:sz="0" w:space="0" w:color="000000"/>
          <w:left w:val="none" w:sz="0" w:space="0" w:color="000000"/>
          <w:bottom w:val="none" w:sz="0" w:space="0" w:color="000000"/>
          <w:right w:val="none" w:sz="0" w:space="0" w:color="000000"/>
          <w:between w:val="nil"/>
        </w:pBdr>
        <w:ind w:left="709"/>
        <w:jc w:val="both"/>
        <w:rPr>
          <w:rFonts w:ascii="Times New Roman" w:eastAsia="Times New Roman" w:hAnsi="Times New Roman" w:cs="Times New Roman"/>
          <w:b/>
          <w:color w:val="000000"/>
          <w:sz w:val="20"/>
          <w:szCs w:val="20"/>
        </w:rPr>
      </w:pPr>
      <w:hyperlink r:id="rId10" w:history="1">
        <w:r w:rsidRPr="0077566E">
          <w:rPr>
            <w:rStyle w:val="Hyperlink"/>
            <w:rFonts w:ascii="Times New Roman" w:eastAsia="Times New Roman" w:hAnsi="Times New Roman" w:cs="Times New Roman"/>
          </w:rPr>
          <w:t>ekapriambodo.ucy@gmail.com</w:t>
        </w:r>
      </w:hyperlink>
      <w:r>
        <w:rPr>
          <w:rFonts w:ascii="Times New Roman" w:eastAsia="Times New Roman" w:hAnsi="Times New Roman" w:cs="Times New Roman"/>
        </w:rPr>
        <w:t xml:space="preserve"> </w:t>
      </w:r>
    </w:p>
    <w:p w14:paraId="650BD10C" w14:textId="77777777" w:rsidR="00F25BC2" w:rsidRDefault="00F25BC2">
      <w:pPr>
        <w:widowControl/>
        <w:pBdr>
          <w:top w:val="none" w:sz="0" w:space="0" w:color="000000"/>
          <w:left w:val="none" w:sz="0" w:space="0" w:color="000000"/>
          <w:bottom w:val="none" w:sz="0" w:space="0" w:color="000000"/>
          <w:right w:val="none" w:sz="0" w:space="0" w:color="000000"/>
          <w:between w:val="nil"/>
        </w:pBdr>
        <w:jc w:val="both"/>
        <w:rPr>
          <w:b/>
          <w:sz w:val="20"/>
          <w:szCs w:val="20"/>
        </w:rPr>
      </w:pPr>
    </w:p>
    <w:p w14:paraId="49FADDE6" w14:textId="5DD59040" w:rsidR="00F66B42" w:rsidRDefault="00000000">
      <w:pPr>
        <w:widowControl/>
        <w:pBdr>
          <w:top w:val="none" w:sz="0" w:space="0" w:color="000000"/>
          <w:left w:val="none" w:sz="0" w:space="0" w:color="000000"/>
          <w:bottom w:val="none" w:sz="0" w:space="0" w:color="000000"/>
          <w:right w:val="none" w:sz="0" w:space="0" w:color="000000"/>
          <w:between w:val="nil"/>
        </w:pBdr>
        <w:jc w:val="both"/>
        <w:rPr>
          <w:rFonts w:ascii="Times New Roman" w:eastAsia="Times New Roman" w:hAnsi="Times New Roman" w:cs="Times New Roman"/>
          <w:color w:val="000000"/>
          <w:sz w:val="20"/>
          <w:szCs w:val="20"/>
        </w:rPr>
      </w:pPr>
      <w:r>
        <w:rPr>
          <w:b/>
          <w:sz w:val="20"/>
          <w:szCs w:val="20"/>
        </w:rPr>
        <w:t>Abstrak</w:t>
      </w:r>
    </w:p>
    <w:p w14:paraId="0C92EF97" w14:textId="77777777" w:rsidR="0070137E" w:rsidRDefault="00000000" w:rsidP="0070137E">
      <w:pPr>
        <w:widowControl/>
        <w:spacing w:before="240" w:after="240"/>
        <w:ind w:left="709"/>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ab/>
      </w:r>
      <w:r w:rsidR="00F25BC2" w:rsidRPr="00F25BC2">
        <w:rPr>
          <w:rFonts w:ascii="Times New Roman" w:eastAsia="Times New Roman" w:hAnsi="Times New Roman" w:cs="Times New Roman"/>
          <w:i/>
          <w:sz w:val="20"/>
          <w:szCs w:val="20"/>
        </w:rPr>
        <w:t>Hak Cipta adalah jenis aset tak berwujud yang memiliki karakteristik mirip dengan aset fisik, dan dalam perkembangan hukum, Hak Cipta dapat berperan sebagai objek jaminan aset. Penerbitan sertifikat hak cipta secara administratif menunjukkan bahwa karya tersebut dapat dicatat dan diakui oleh negara dan mendapatkan perlindungan hukum. Studi ini bertujuan untuk mengkaji karakteristik aset tak berwujud hak cipta sebagai jaminan objek, mengingat perkembangan pesat karya cipta saat ini didorong oleh teknologi digital dan media sosial melalui internet. Pertanyaan penelitian yang dikaji adalah apa saja karakteristik aset tak berwujud hak cipta sebagai jaminan benda. Metode yang digunakan adalah pendekatan normatif yuridis, yaitu dengan mengkaji peraturan perundang-undangan yang relevan dengan penelitian ini, kemudian digunakan untuk mengurai hubungan antara das sollen Hak Cipta sebagai aset intangible jaminan material. Hasil penelitian menunjukkan bahwa sifat Hak Cipta sebagai aset non-fisik menjadikannya jaminan properti, memiliki kesamaan dengan kepemilikan, sehingga dapat dipakai sebagai objek jaminan menurut Undang-Undang Hak Cipta. Sebagai kesimpulan, karya yang dihasilkan oleh pencipta saat ini dapat dijadikan objek jaminan kekayaan karena memiliki karakteristik sebagai aset immateriil seperti halnya kekayaan.</w:t>
      </w:r>
    </w:p>
    <w:p w14:paraId="2DEED7D3" w14:textId="35EE2875" w:rsidR="00F66B42" w:rsidRPr="0070137E" w:rsidRDefault="00000000" w:rsidP="0070137E">
      <w:pPr>
        <w:widowControl/>
        <w:spacing w:before="240" w:after="240"/>
        <w:ind w:left="709"/>
        <w:jc w:val="both"/>
        <w:rPr>
          <w:rFonts w:ascii="Times New Roman" w:eastAsia="Times New Roman" w:hAnsi="Times New Roman" w:cs="Times New Roman"/>
          <w:i/>
          <w:sz w:val="20"/>
          <w:szCs w:val="20"/>
        </w:rPr>
      </w:pPr>
      <w:r>
        <w:rPr>
          <w:rFonts w:ascii="Times New Roman" w:eastAsia="Times New Roman" w:hAnsi="Times New Roman" w:cs="Times New Roman"/>
          <w:b/>
          <w:sz w:val="20"/>
          <w:szCs w:val="20"/>
        </w:rPr>
        <w:t xml:space="preserve">Kata </w:t>
      </w:r>
      <w:r w:rsidR="00592A6D">
        <w:rPr>
          <w:rFonts w:ascii="Times New Roman" w:eastAsia="Times New Roman" w:hAnsi="Times New Roman" w:cs="Times New Roman"/>
          <w:b/>
          <w:sz w:val="20"/>
          <w:szCs w:val="20"/>
        </w:rPr>
        <w:t>Kunci:</w:t>
      </w:r>
      <w:r>
        <w:rPr>
          <w:rFonts w:ascii="Times New Roman" w:eastAsia="Times New Roman" w:hAnsi="Times New Roman" w:cs="Times New Roman"/>
          <w:b/>
          <w:color w:val="000000"/>
          <w:sz w:val="24"/>
          <w:szCs w:val="24"/>
        </w:rPr>
        <w:t xml:space="preserve"> </w:t>
      </w:r>
      <w:r w:rsidR="00F25BC2" w:rsidRPr="00F25BC2">
        <w:rPr>
          <w:rFonts w:ascii="Times New Roman" w:eastAsia="Times New Roman" w:hAnsi="Times New Roman" w:cs="Times New Roman"/>
          <w:sz w:val="20"/>
          <w:szCs w:val="20"/>
        </w:rPr>
        <w:t>Intangible Asset, Hak Cipta, Jaminan, Kebendaan</w:t>
      </w:r>
      <w:r w:rsidR="00F25BC2">
        <w:rPr>
          <w:rFonts w:ascii="Times New Roman" w:eastAsia="Times New Roman" w:hAnsi="Times New Roman" w:cs="Times New Roman"/>
          <w:sz w:val="20"/>
          <w:szCs w:val="20"/>
        </w:rPr>
        <w:t>.</w:t>
      </w:r>
    </w:p>
    <w:p w14:paraId="3EDA7FEF" w14:textId="77777777" w:rsidR="00F66B42" w:rsidRDefault="00000000" w:rsidP="0070137E">
      <w:pPr>
        <w:widowControl/>
        <w:pBdr>
          <w:top w:val="none" w:sz="0" w:space="0" w:color="000000"/>
          <w:left w:val="none" w:sz="0" w:space="0" w:color="000000"/>
          <w:bottom w:val="none" w:sz="0" w:space="0" w:color="000000"/>
          <w:right w:val="none" w:sz="0" w:space="0" w:color="000000"/>
        </w:pBdr>
        <w:spacing w:before="240"/>
        <w:jc w:val="both"/>
      </w:pPr>
      <w:r>
        <w:rPr>
          <w:rFonts w:ascii="Times New Roman" w:eastAsia="Times New Roman" w:hAnsi="Times New Roman" w:cs="Times New Roman"/>
          <w:b/>
          <w:sz w:val="20"/>
          <w:szCs w:val="20"/>
        </w:rPr>
        <w:t>Abstract</w:t>
      </w:r>
    </w:p>
    <w:p w14:paraId="09867D97" w14:textId="77777777" w:rsidR="0070137E" w:rsidRDefault="00000000" w:rsidP="0070137E">
      <w:pPr>
        <w:widowControl/>
        <w:spacing w:before="240" w:after="240"/>
        <w:ind w:left="709"/>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ab/>
      </w:r>
      <w:r w:rsidR="00F25BC2" w:rsidRPr="00F25BC2">
        <w:rPr>
          <w:rFonts w:ascii="Times New Roman" w:eastAsia="Times New Roman" w:hAnsi="Times New Roman" w:cs="Times New Roman"/>
          <w:i/>
          <w:sz w:val="20"/>
          <w:szCs w:val="20"/>
        </w:rPr>
        <w:t xml:space="preserve">Copyright is a type of intangible asset that has characteristics </w:t>
      </w:r>
      <w:proofErr w:type="gramStart"/>
      <w:r w:rsidR="00F25BC2" w:rsidRPr="00F25BC2">
        <w:rPr>
          <w:rFonts w:ascii="Times New Roman" w:eastAsia="Times New Roman" w:hAnsi="Times New Roman" w:cs="Times New Roman"/>
          <w:i/>
          <w:sz w:val="20"/>
          <w:szCs w:val="20"/>
        </w:rPr>
        <w:t>similar to</w:t>
      </w:r>
      <w:proofErr w:type="gramEnd"/>
      <w:r w:rsidR="00F25BC2" w:rsidRPr="00F25BC2">
        <w:rPr>
          <w:rFonts w:ascii="Times New Roman" w:eastAsia="Times New Roman" w:hAnsi="Times New Roman" w:cs="Times New Roman"/>
          <w:i/>
          <w:sz w:val="20"/>
          <w:szCs w:val="20"/>
        </w:rPr>
        <w:t xml:space="preserve"> physical assets, and in the development of law, Copyright can act as an object of asset collateral. The issuance of a copyright certificate administratively indicates that the work can be recorded and recognized by the state and obtains legal protection. This study aims to examine the characteristics of intangible copyright assets as collateral objects, considering the rapid development of copyrighted works today is driven by digital technology and social media via the internet. The research question </w:t>
      </w:r>
      <w:r w:rsidR="00F25BC2" w:rsidRPr="00F25BC2">
        <w:rPr>
          <w:rFonts w:ascii="Times New Roman" w:eastAsia="Times New Roman" w:hAnsi="Times New Roman" w:cs="Times New Roman"/>
          <w:i/>
          <w:sz w:val="20"/>
          <w:szCs w:val="20"/>
        </w:rPr>
        <w:lastRenderedPageBreak/>
        <w:t xml:space="preserve">studied is what </w:t>
      </w:r>
      <w:r w:rsidR="00592A6D" w:rsidRPr="00F25BC2">
        <w:rPr>
          <w:rFonts w:ascii="Times New Roman" w:eastAsia="Times New Roman" w:hAnsi="Times New Roman" w:cs="Times New Roman"/>
          <w:i/>
          <w:sz w:val="20"/>
          <w:szCs w:val="20"/>
        </w:rPr>
        <w:t>the characteristics of intangible copyright assets are as collateral objects</w:t>
      </w:r>
      <w:r w:rsidR="00F25BC2" w:rsidRPr="00F25BC2">
        <w:rPr>
          <w:rFonts w:ascii="Times New Roman" w:eastAsia="Times New Roman" w:hAnsi="Times New Roman" w:cs="Times New Roman"/>
          <w:i/>
          <w:sz w:val="20"/>
          <w:szCs w:val="20"/>
        </w:rPr>
        <w:t>. The method used is a normative legal approach, namely by reviewing laws and regulations relevant to this study, then used to describe the relationship between das sollen Copyright as an intangible collateral material asset. The results of the study show that the nature of Copyright as a non-physical asset guarantees the nature of the collateral, has similarities with ownership, so that it can be used as an object of collateral according to the Copyright Law. In conclusion, the work produced by the creator can currently be used as an object of wealth collateral because it has the nature of an immaterial asset like wealth.</w:t>
      </w:r>
    </w:p>
    <w:p w14:paraId="6FB8C823" w14:textId="631A7850" w:rsidR="00F66B42" w:rsidRPr="0070137E" w:rsidRDefault="00000000" w:rsidP="0070137E">
      <w:pPr>
        <w:widowControl/>
        <w:spacing w:before="240" w:after="240"/>
        <w:ind w:left="709"/>
        <w:jc w:val="both"/>
        <w:rPr>
          <w:rFonts w:ascii="Times New Roman" w:eastAsia="Times New Roman" w:hAnsi="Times New Roman" w:cs="Times New Roman"/>
          <w:i/>
          <w:sz w:val="20"/>
          <w:szCs w:val="20"/>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r w:rsidR="00F25BC2" w:rsidRPr="00F25BC2">
        <w:rPr>
          <w:rFonts w:ascii="Times New Roman" w:eastAsia="Times New Roman" w:hAnsi="Times New Roman" w:cs="Times New Roman"/>
          <w:sz w:val="20"/>
          <w:szCs w:val="20"/>
        </w:rPr>
        <w:t>Intangible Asset, Hak Cipta, Jaminan, Kebendaan.</w:t>
      </w:r>
    </w:p>
    <w:p w14:paraId="1EE2D742" w14:textId="1D30DE63" w:rsidR="00F66B42" w:rsidRPr="00592A6D" w:rsidRDefault="00000000" w:rsidP="00592A6D">
      <w:pPr>
        <w:pStyle w:val="ListParagraph"/>
        <w:widowControl/>
        <w:numPr>
          <w:ilvl w:val="0"/>
          <w:numId w:val="2"/>
        </w:numPr>
        <w:pBdr>
          <w:top w:val="nil"/>
          <w:left w:val="nil"/>
          <w:bottom w:val="nil"/>
          <w:right w:val="nil"/>
          <w:between w:val="nil"/>
        </w:pBdr>
        <w:ind w:left="426"/>
        <w:jc w:val="both"/>
        <w:rPr>
          <w:rFonts w:ascii="Times New Roman" w:eastAsia="Times New Roman" w:hAnsi="Times New Roman" w:cs="Times New Roman"/>
          <w:color w:val="000000"/>
          <w:sz w:val="20"/>
          <w:szCs w:val="20"/>
        </w:rPr>
      </w:pPr>
      <w:bookmarkStart w:id="0" w:name="_heading=h.gjdgxs" w:colFirst="0" w:colLast="0"/>
      <w:bookmarkEnd w:id="0"/>
      <w:r w:rsidRPr="00592A6D">
        <w:rPr>
          <w:rFonts w:ascii="Times New Roman" w:eastAsia="Times New Roman" w:hAnsi="Times New Roman" w:cs="Times New Roman"/>
          <w:b/>
          <w:color w:val="000000"/>
          <w:sz w:val="20"/>
          <w:szCs w:val="20"/>
        </w:rPr>
        <w:t>Pendahuluan</w:t>
      </w:r>
    </w:p>
    <w:p w14:paraId="7B7F4C48" w14:textId="584D7CFF" w:rsidR="002843DF" w:rsidRPr="002843DF" w:rsidRDefault="002843DF" w:rsidP="005541EE">
      <w:pPr>
        <w:pBdr>
          <w:top w:val="nil"/>
          <w:left w:val="nil"/>
          <w:bottom w:val="nil"/>
          <w:right w:val="nil"/>
          <w:between w:val="nil"/>
        </w:pBdr>
        <w:spacing w:line="360" w:lineRule="auto"/>
        <w:ind w:firstLine="440"/>
        <w:jc w:val="both"/>
        <w:rPr>
          <w:rFonts w:ascii="Times New Roman" w:eastAsia="Times New Roman" w:hAnsi="Times New Roman" w:cs="Times New Roman"/>
          <w:color w:val="000000"/>
          <w:sz w:val="20"/>
          <w:szCs w:val="20"/>
        </w:rPr>
      </w:pPr>
      <w:r w:rsidRPr="002843DF">
        <w:rPr>
          <w:rFonts w:ascii="Times New Roman" w:eastAsia="Times New Roman" w:hAnsi="Times New Roman" w:cs="Times New Roman"/>
          <w:color w:val="000000"/>
          <w:sz w:val="20"/>
          <w:szCs w:val="20"/>
        </w:rPr>
        <w:t>Hak atas Kekayaan Intelektual adalah hak yang muncul dari penciptaan suatu karya yang dihasilkan melalui pemikiran manusia dengan proses berpikir menggunakan kemampuan intelektual dalam kurun waktu yang cukup lama.</w:t>
      </w:r>
      <w:r w:rsidR="00592A6D">
        <w:rPr>
          <w:rFonts w:ascii="Times New Roman" w:eastAsia="Times New Roman" w:hAnsi="Times New Roman" w:cs="Times New Roman"/>
          <w:color w:val="000000"/>
          <w:sz w:val="20"/>
          <w:szCs w:val="20"/>
        </w:rPr>
        <w:t xml:space="preserve"> </w:t>
      </w:r>
      <w:r w:rsidRPr="002843DF">
        <w:rPr>
          <w:rFonts w:ascii="Times New Roman" w:eastAsia="Times New Roman" w:hAnsi="Times New Roman" w:cs="Times New Roman"/>
          <w:color w:val="000000"/>
          <w:sz w:val="20"/>
          <w:szCs w:val="20"/>
        </w:rPr>
        <w:t>Karya yang dihasilkan dari tiga unsur yaitu kreativitas, emosi, dan kehendak, merupakan dihasilkan oleh manusia dalam bidang sains, kesenian atau teknologi.</w:t>
      </w:r>
      <w:r w:rsidR="00592A6D">
        <w:rPr>
          <w:rStyle w:val="FootnoteReference"/>
          <w:rFonts w:ascii="Times New Roman" w:eastAsia="Times New Roman" w:hAnsi="Times New Roman" w:cs="Times New Roman"/>
          <w:color w:val="000000"/>
          <w:sz w:val="20"/>
          <w:szCs w:val="20"/>
        </w:rPr>
        <w:footnoteReference w:id="1"/>
      </w:r>
      <w:r w:rsidR="00592A6D">
        <w:rPr>
          <w:rFonts w:ascii="Times New Roman" w:eastAsia="Times New Roman" w:hAnsi="Times New Roman" w:cs="Times New Roman"/>
          <w:color w:val="000000"/>
          <w:sz w:val="20"/>
          <w:szCs w:val="20"/>
        </w:rPr>
        <w:t xml:space="preserve"> </w:t>
      </w:r>
      <w:r w:rsidRPr="002843DF">
        <w:rPr>
          <w:rFonts w:ascii="Times New Roman" w:eastAsia="Times New Roman" w:hAnsi="Times New Roman" w:cs="Times New Roman"/>
          <w:color w:val="000000"/>
          <w:sz w:val="20"/>
          <w:szCs w:val="20"/>
        </w:rPr>
        <w:t>Hak istimewa yang muncul secara otomatis berdasarkan prinsip deklaratif, diberikan kepada Pencipta atau penerima hak, untuk melaksanakan perbanyakan karya dan melakukan publikasi atas cipta tersebut.</w:t>
      </w:r>
    </w:p>
    <w:p w14:paraId="5D9E5AAB" w14:textId="77777777" w:rsidR="002843DF" w:rsidRPr="002843DF" w:rsidRDefault="002843DF" w:rsidP="005541EE">
      <w:pPr>
        <w:pBdr>
          <w:top w:val="nil"/>
          <w:left w:val="nil"/>
          <w:bottom w:val="nil"/>
          <w:right w:val="nil"/>
          <w:between w:val="nil"/>
        </w:pBdr>
        <w:spacing w:line="360" w:lineRule="auto"/>
        <w:ind w:firstLine="440"/>
        <w:jc w:val="both"/>
        <w:rPr>
          <w:rFonts w:ascii="Times New Roman" w:eastAsia="Times New Roman" w:hAnsi="Times New Roman" w:cs="Times New Roman"/>
          <w:color w:val="000000"/>
          <w:sz w:val="20"/>
          <w:szCs w:val="20"/>
        </w:rPr>
      </w:pPr>
      <w:r w:rsidRPr="002843DF">
        <w:rPr>
          <w:rFonts w:ascii="Times New Roman" w:eastAsia="Times New Roman" w:hAnsi="Times New Roman" w:cs="Times New Roman"/>
          <w:color w:val="000000"/>
          <w:sz w:val="20"/>
          <w:szCs w:val="20"/>
        </w:rPr>
        <w:t>Pelindungan Ciptaan diawali sekitar tahun 1709 di Inggris yang melindungi karya seni dan sastra, yang dikenal dengan konsep ekonomi dan konsep moral. Konsep economi right muncul atas dorongan bisnis penerbitan buku di Inggris yang sebelumnya si pencipta tidak mendapatkan hak ekonomi atas ciptaannya.</w:t>
      </w:r>
    </w:p>
    <w:p w14:paraId="40833009" w14:textId="56D225CB" w:rsidR="002843DF" w:rsidRPr="002843DF" w:rsidRDefault="002843DF" w:rsidP="005541EE">
      <w:pPr>
        <w:pBdr>
          <w:top w:val="nil"/>
          <w:left w:val="nil"/>
          <w:bottom w:val="nil"/>
          <w:right w:val="nil"/>
          <w:between w:val="nil"/>
        </w:pBdr>
        <w:spacing w:line="360" w:lineRule="auto"/>
        <w:ind w:firstLine="440"/>
        <w:jc w:val="both"/>
        <w:rPr>
          <w:rFonts w:ascii="Times New Roman" w:eastAsia="Times New Roman" w:hAnsi="Times New Roman" w:cs="Times New Roman"/>
          <w:color w:val="000000"/>
          <w:sz w:val="20"/>
          <w:szCs w:val="20"/>
        </w:rPr>
      </w:pPr>
      <w:r w:rsidRPr="002843DF">
        <w:rPr>
          <w:rFonts w:ascii="Times New Roman" w:eastAsia="Times New Roman" w:hAnsi="Times New Roman" w:cs="Times New Roman"/>
          <w:color w:val="000000"/>
          <w:sz w:val="20"/>
          <w:szCs w:val="20"/>
        </w:rPr>
        <w:t>Karya cipta lahir dari hasil kemampuan manusia dengan proses pemikiran, menggunakan tenaga dan biaya, yang kemudian di wujudkan dalam baik 2D maupun 3D, yang bernilai, manfaat.</w:t>
      </w:r>
      <w:r w:rsidR="00592A6D">
        <w:rPr>
          <w:rStyle w:val="FootnoteReference"/>
          <w:rFonts w:ascii="Times New Roman" w:eastAsia="Times New Roman" w:hAnsi="Times New Roman" w:cs="Times New Roman"/>
          <w:color w:val="000000"/>
          <w:sz w:val="20"/>
          <w:szCs w:val="20"/>
        </w:rPr>
        <w:footnoteReference w:id="2"/>
      </w:r>
      <w:r w:rsidR="00592A6D">
        <w:rPr>
          <w:rFonts w:ascii="Times New Roman" w:eastAsia="Times New Roman" w:hAnsi="Times New Roman" w:cs="Times New Roman"/>
          <w:color w:val="000000"/>
          <w:sz w:val="20"/>
          <w:szCs w:val="20"/>
        </w:rPr>
        <w:t xml:space="preserve"> </w:t>
      </w:r>
      <w:r w:rsidRPr="002843DF">
        <w:rPr>
          <w:rFonts w:ascii="Times New Roman" w:eastAsia="Times New Roman" w:hAnsi="Times New Roman" w:cs="Times New Roman"/>
          <w:color w:val="000000"/>
          <w:sz w:val="20"/>
          <w:szCs w:val="20"/>
        </w:rPr>
        <w:t>Konsep Hak Cipta dalam perkembangannya memiliki keunggulan yang diberikan kepada pencipta atau pemegang hak, di mana dengan keunggulan ini, pemegang hak memiliki wewenang untuk mempublikasikan, memperbanyak karyanya, atau mengalihkan kepada pihak lain tanpa mengurangi batasan yang ditentukan dalam peraturan.</w:t>
      </w:r>
      <w:r w:rsidR="00592A6D">
        <w:rPr>
          <w:rStyle w:val="FootnoteReference"/>
          <w:rFonts w:ascii="Times New Roman" w:eastAsia="Times New Roman" w:hAnsi="Times New Roman" w:cs="Times New Roman"/>
          <w:color w:val="000000"/>
          <w:sz w:val="20"/>
          <w:szCs w:val="20"/>
        </w:rPr>
        <w:footnoteReference w:id="3"/>
      </w:r>
    </w:p>
    <w:p w14:paraId="03D6A5A9" w14:textId="77777777" w:rsidR="002843DF" w:rsidRPr="002843DF" w:rsidRDefault="002843DF" w:rsidP="005541EE">
      <w:pPr>
        <w:pBdr>
          <w:top w:val="nil"/>
          <w:left w:val="nil"/>
          <w:bottom w:val="nil"/>
          <w:right w:val="nil"/>
          <w:between w:val="nil"/>
        </w:pBdr>
        <w:spacing w:line="360" w:lineRule="auto"/>
        <w:ind w:firstLine="440"/>
        <w:jc w:val="both"/>
        <w:rPr>
          <w:rFonts w:ascii="Times New Roman" w:eastAsia="Times New Roman" w:hAnsi="Times New Roman" w:cs="Times New Roman"/>
          <w:color w:val="000000"/>
          <w:sz w:val="20"/>
          <w:szCs w:val="20"/>
        </w:rPr>
      </w:pPr>
      <w:r w:rsidRPr="002843DF">
        <w:rPr>
          <w:rFonts w:ascii="Times New Roman" w:eastAsia="Times New Roman" w:hAnsi="Times New Roman" w:cs="Times New Roman"/>
          <w:color w:val="000000"/>
          <w:sz w:val="20"/>
          <w:szCs w:val="20"/>
        </w:rPr>
        <w:lastRenderedPageBreak/>
        <w:t>Definisi Hak Cipta dapat ditemukan dalam Undang-Undang Nomor 28 Tahun 2014 tentang Hak Cipta (selanjutnya disebut UU Cipta), yang diatur dalam Pasal 1 angka (1), yang menyatakan bahwa hak cipta adalah hak eksklusif bagi pencipta yang diberikan menurut prinsip deklaratif setelah karya tersebut diwujudkan dalam bentuk yang nyata di area ilmu pengetahuan, seni, dan sastra.</w:t>
      </w:r>
    </w:p>
    <w:p w14:paraId="5C9DF672" w14:textId="77777777" w:rsidR="002843DF" w:rsidRPr="002843DF" w:rsidRDefault="002843DF" w:rsidP="005541EE">
      <w:pPr>
        <w:pBdr>
          <w:top w:val="nil"/>
          <w:left w:val="nil"/>
          <w:bottom w:val="nil"/>
          <w:right w:val="nil"/>
          <w:between w:val="nil"/>
        </w:pBdr>
        <w:spacing w:line="360" w:lineRule="auto"/>
        <w:ind w:firstLine="440"/>
        <w:jc w:val="both"/>
        <w:rPr>
          <w:rFonts w:ascii="Times New Roman" w:eastAsia="Times New Roman" w:hAnsi="Times New Roman" w:cs="Times New Roman"/>
          <w:color w:val="000000"/>
          <w:sz w:val="20"/>
          <w:szCs w:val="20"/>
        </w:rPr>
      </w:pPr>
      <w:r w:rsidRPr="002843DF">
        <w:rPr>
          <w:rFonts w:ascii="Times New Roman" w:eastAsia="Times New Roman" w:hAnsi="Times New Roman" w:cs="Times New Roman"/>
          <w:color w:val="000000"/>
          <w:sz w:val="20"/>
          <w:szCs w:val="20"/>
        </w:rPr>
        <w:t xml:space="preserve">Hak istimewa yang dimiliki oleh pencipta meliputi hak ekonomi serta hak moral. Selain itu, pencipta dan pemegang hak cipta memiliki wewenang atau hak, yaitu: </w:t>
      </w:r>
    </w:p>
    <w:p w14:paraId="56E24B22" w14:textId="77777777" w:rsidR="0070137E" w:rsidRDefault="002843DF" w:rsidP="005541EE">
      <w:pPr>
        <w:pStyle w:val="ListParagraph"/>
        <w:numPr>
          <w:ilvl w:val="0"/>
          <w:numId w:val="3"/>
        </w:numPr>
        <w:pBdr>
          <w:top w:val="nil"/>
          <w:left w:val="nil"/>
          <w:bottom w:val="nil"/>
          <w:right w:val="nil"/>
          <w:between w:val="nil"/>
        </w:pBdr>
        <w:spacing w:line="360" w:lineRule="auto"/>
        <w:ind w:left="426"/>
        <w:jc w:val="both"/>
        <w:rPr>
          <w:rFonts w:ascii="Times New Roman" w:eastAsia="Times New Roman" w:hAnsi="Times New Roman" w:cs="Times New Roman"/>
          <w:color w:val="000000"/>
          <w:sz w:val="20"/>
          <w:szCs w:val="20"/>
        </w:rPr>
      </w:pPr>
      <w:r w:rsidRPr="0070137E">
        <w:rPr>
          <w:rFonts w:ascii="Times New Roman" w:eastAsia="Times New Roman" w:hAnsi="Times New Roman" w:cs="Times New Roman"/>
          <w:color w:val="000000"/>
          <w:sz w:val="20"/>
          <w:szCs w:val="20"/>
        </w:rPr>
        <w:t xml:space="preserve">Jika, sebagai pencipta atau pemilik hak cipta, dapat menambah jumlah karyanya. </w:t>
      </w:r>
    </w:p>
    <w:p w14:paraId="5F046DB4" w14:textId="77777777" w:rsidR="0070137E" w:rsidRDefault="002843DF" w:rsidP="005541EE">
      <w:pPr>
        <w:pStyle w:val="ListParagraph"/>
        <w:numPr>
          <w:ilvl w:val="0"/>
          <w:numId w:val="3"/>
        </w:numPr>
        <w:pBdr>
          <w:top w:val="nil"/>
          <w:left w:val="nil"/>
          <w:bottom w:val="nil"/>
          <w:right w:val="nil"/>
          <w:between w:val="nil"/>
        </w:pBdr>
        <w:spacing w:line="360" w:lineRule="auto"/>
        <w:ind w:left="426"/>
        <w:jc w:val="both"/>
        <w:rPr>
          <w:rFonts w:ascii="Times New Roman" w:eastAsia="Times New Roman" w:hAnsi="Times New Roman" w:cs="Times New Roman"/>
          <w:color w:val="000000"/>
          <w:sz w:val="20"/>
          <w:szCs w:val="20"/>
        </w:rPr>
      </w:pPr>
      <w:r w:rsidRPr="0070137E">
        <w:rPr>
          <w:rFonts w:ascii="Times New Roman" w:eastAsia="Times New Roman" w:hAnsi="Times New Roman" w:cs="Times New Roman"/>
          <w:color w:val="000000"/>
          <w:sz w:val="20"/>
          <w:szCs w:val="20"/>
        </w:rPr>
        <w:t xml:space="preserve">Pencipta atau pemilik hak cipta dapat mengungkapkan menggunakan berbagai sarana. </w:t>
      </w:r>
    </w:p>
    <w:p w14:paraId="3A154541" w14:textId="28580623" w:rsidR="009864D7" w:rsidRPr="0070137E" w:rsidRDefault="002843DF" w:rsidP="005541EE">
      <w:pPr>
        <w:pStyle w:val="ListParagraph"/>
        <w:numPr>
          <w:ilvl w:val="0"/>
          <w:numId w:val="3"/>
        </w:numPr>
        <w:pBdr>
          <w:top w:val="nil"/>
          <w:left w:val="nil"/>
          <w:bottom w:val="nil"/>
          <w:right w:val="nil"/>
          <w:between w:val="nil"/>
        </w:pBdr>
        <w:spacing w:line="360" w:lineRule="auto"/>
        <w:ind w:left="426"/>
        <w:jc w:val="both"/>
        <w:rPr>
          <w:rFonts w:ascii="Times New Roman" w:eastAsia="Times New Roman" w:hAnsi="Times New Roman" w:cs="Times New Roman"/>
          <w:color w:val="000000"/>
          <w:sz w:val="20"/>
          <w:szCs w:val="20"/>
        </w:rPr>
      </w:pPr>
      <w:r w:rsidRPr="0070137E">
        <w:rPr>
          <w:rFonts w:ascii="Times New Roman" w:eastAsia="Times New Roman" w:hAnsi="Times New Roman" w:cs="Times New Roman"/>
          <w:color w:val="000000"/>
          <w:sz w:val="20"/>
          <w:szCs w:val="20"/>
        </w:rPr>
        <w:t>Pemilik atau pencipta hak cipta memiliki hak untuk memperluas haknya dan menempuh tindakan hukum terhadap pelanggaran hak cipta yang terjadi.</w:t>
      </w:r>
      <w:r w:rsidR="0070137E">
        <w:rPr>
          <w:rStyle w:val="FootnoteReference"/>
          <w:rFonts w:ascii="Times New Roman" w:eastAsia="Times New Roman" w:hAnsi="Times New Roman" w:cs="Times New Roman"/>
          <w:color w:val="000000"/>
          <w:sz w:val="20"/>
          <w:szCs w:val="20"/>
        </w:rPr>
        <w:footnoteReference w:id="4"/>
      </w:r>
      <w:r w:rsidRPr="0070137E">
        <w:rPr>
          <w:rFonts w:ascii="Times New Roman" w:eastAsia="Times New Roman" w:hAnsi="Times New Roman" w:cs="Times New Roman"/>
          <w:color w:val="000000"/>
          <w:sz w:val="20"/>
          <w:szCs w:val="20"/>
        </w:rPr>
        <w:t xml:space="preserve"> </w:t>
      </w:r>
    </w:p>
    <w:p w14:paraId="5953EEC7" w14:textId="14FD46E3" w:rsidR="0070137E" w:rsidRDefault="002843DF" w:rsidP="005541EE">
      <w:pPr>
        <w:pBdr>
          <w:top w:val="nil"/>
          <w:left w:val="nil"/>
          <w:bottom w:val="nil"/>
          <w:right w:val="nil"/>
          <w:between w:val="nil"/>
        </w:pBdr>
        <w:spacing w:line="360" w:lineRule="auto"/>
        <w:ind w:firstLine="440"/>
        <w:jc w:val="both"/>
        <w:rPr>
          <w:rFonts w:ascii="Times New Roman" w:eastAsia="Times New Roman" w:hAnsi="Times New Roman" w:cs="Times New Roman"/>
          <w:color w:val="000000"/>
          <w:sz w:val="20"/>
          <w:szCs w:val="20"/>
        </w:rPr>
      </w:pPr>
      <w:r w:rsidRPr="002843DF">
        <w:rPr>
          <w:rFonts w:ascii="Times New Roman" w:eastAsia="Times New Roman" w:hAnsi="Times New Roman" w:cs="Times New Roman"/>
          <w:color w:val="000000"/>
          <w:sz w:val="20"/>
          <w:szCs w:val="20"/>
        </w:rPr>
        <w:t>Hak Cipta secara otomatis dimiliki sejak karya dibuat. Namun, dalam prosesnya perpindahan kepemilikan bisa dilakukan seperti halnya perpindahan kepemilikan hak atas benda. Keunikan hak cipta inilah yang membuat hak cipta berguna bagi pemiliknya, yaitu bisa berfungsi sebagai jaminan kekayaan.</w:t>
      </w:r>
      <w:r w:rsidR="0070137E">
        <w:rPr>
          <w:rFonts w:ascii="Times New Roman" w:eastAsia="Times New Roman" w:hAnsi="Times New Roman" w:cs="Times New Roman"/>
          <w:color w:val="000000"/>
          <w:sz w:val="20"/>
          <w:szCs w:val="20"/>
        </w:rPr>
        <w:t xml:space="preserve"> </w:t>
      </w:r>
      <w:r w:rsidRPr="002843DF">
        <w:rPr>
          <w:rFonts w:ascii="Times New Roman" w:eastAsia="Times New Roman" w:hAnsi="Times New Roman" w:cs="Times New Roman"/>
          <w:color w:val="000000"/>
          <w:sz w:val="20"/>
          <w:szCs w:val="20"/>
        </w:rPr>
        <w:t>Lahirnya Hak Cipta tahun 2014 merupakan pembaruan yang disebabkan semakin meningkatnya perkembangan ekonomi kreatif yang menuntut kejelasan aturan terkait peralihan Hak Cipta.</w:t>
      </w:r>
      <w:r w:rsidR="008B405F">
        <w:rPr>
          <w:rStyle w:val="FootnoteReference"/>
          <w:rFonts w:ascii="Times New Roman" w:eastAsia="Times New Roman" w:hAnsi="Times New Roman" w:cs="Times New Roman"/>
          <w:color w:val="000000"/>
          <w:sz w:val="20"/>
          <w:szCs w:val="20"/>
        </w:rPr>
        <w:footnoteReference w:id="5"/>
      </w:r>
    </w:p>
    <w:p w14:paraId="64AE5F2A" w14:textId="77777777" w:rsidR="0070137E" w:rsidRDefault="002843DF" w:rsidP="005541EE">
      <w:pPr>
        <w:pBdr>
          <w:top w:val="nil"/>
          <w:left w:val="nil"/>
          <w:bottom w:val="nil"/>
          <w:right w:val="nil"/>
          <w:between w:val="nil"/>
        </w:pBdr>
        <w:spacing w:line="360" w:lineRule="auto"/>
        <w:ind w:firstLine="440"/>
        <w:jc w:val="both"/>
        <w:rPr>
          <w:rFonts w:ascii="Times New Roman" w:eastAsia="Times New Roman" w:hAnsi="Times New Roman" w:cs="Times New Roman"/>
          <w:color w:val="000000"/>
          <w:sz w:val="20"/>
          <w:szCs w:val="20"/>
        </w:rPr>
      </w:pPr>
      <w:r w:rsidRPr="002843DF">
        <w:rPr>
          <w:rFonts w:ascii="Times New Roman" w:eastAsia="Times New Roman" w:hAnsi="Times New Roman" w:cs="Times New Roman"/>
          <w:color w:val="000000"/>
          <w:sz w:val="20"/>
          <w:szCs w:val="20"/>
        </w:rPr>
        <w:t xml:space="preserve">Peralihan kepemilikan Hak Cipta tersebut memiliki kesamaan dengan peralihan kepemilikan dalam kebendaan yang terbagi dua, yaitu: </w:t>
      </w:r>
    </w:p>
    <w:p w14:paraId="4E7E528E" w14:textId="77777777" w:rsidR="0070137E" w:rsidRDefault="002843DF" w:rsidP="005541EE">
      <w:pPr>
        <w:pStyle w:val="ListParagraph"/>
        <w:numPr>
          <w:ilvl w:val="0"/>
          <w:numId w:val="4"/>
        </w:numPr>
        <w:pBdr>
          <w:top w:val="nil"/>
          <w:left w:val="nil"/>
          <w:bottom w:val="nil"/>
          <w:right w:val="nil"/>
          <w:between w:val="nil"/>
        </w:pBdr>
        <w:spacing w:line="360" w:lineRule="auto"/>
        <w:ind w:left="426"/>
        <w:jc w:val="both"/>
        <w:rPr>
          <w:rFonts w:ascii="Times New Roman" w:eastAsia="Times New Roman" w:hAnsi="Times New Roman" w:cs="Times New Roman"/>
          <w:color w:val="000000"/>
          <w:sz w:val="20"/>
          <w:szCs w:val="20"/>
        </w:rPr>
      </w:pPr>
      <w:r w:rsidRPr="0070137E">
        <w:rPr>
          <w:rFonts w:ascii="Times New Roman" w:eastAsia="Times New Roman" w:hAnsi="Times New Roman" w:cs="Times New Roman"/>
          <w:color w:val="000000"/>
          <w:sz w:val="20"/>
          <w:szCs w:val="20"/>
        </w:rPr>
        <w:t>Menyediakan kepuasan yang lengkap bagi pemiliknya atau yang dikenal sebagai hak atas benda yang sempurna.</w:t>
      </w:r>
    </w:p>
    <w:p w14:paraId="5529C183" w14:textId="71A127BC" w:rsidR="002843DF" w:rsidRPr="0070137E" w:rsidRDefault="002843DF" w:rsidP="005541EE">
      <w:pPr>
        <w:pStyle w:val="ListParagraph"/>
        <w:numPr>
          <w:ilvl w:val="0"/>
          <w:numId w:val="4"/>
        </w:numPr>
        <w:pBdr>
          <w:top w:val="nil"/>
          <w:left w:val="nil"/>
          <w:bottom w:val="nil"/>
          <w:right w:val="nil"/>
          <w:between w:val="nil"/>
        </w:pBdr>
        <w:spacing w:line="360" w:lineRule="auto"/>
        <w:ind w:left="426"/>
        <w:jc w:val="both"/>
        <w:rPr>
          <w:rFonts w:ascii="Times New Roman" w:eastAsia="Times New Roman" w:hAnsi="Times New Roman" w:cs="Times New Roman"/>
          <w:color w:val="000000"/>
          <w:sz w:val="20"/>
          <w:szCs w:val="20"/>
        </w:rPr>
      </w:pPr>
      <w:r w:rsidRPr="0070137E">
        <w:rPr>
          <w:rFonts w:ascii="Times New Roman" w:eastAsia="Times New Roman" w:hAnsi="Times New Roman" w:cs="Times New Roman"/>
          <w:color w:val="000000"/>
          <w:sz w:val="20"/>
          <w:szCs w:val="20"/>
        </w:rPr>
        <w:t xml:space="preserve">Memberikan kenikmatan yang tidak sepenuhnya, atau dikenal dengan Hak Kebendaan yang tidak penuh. Seiring perkembangannya, Hak cipta dapat berfungsi sebagai objek jaminan tidak berwujud yang memiliki karakter mirip </w:t>
      </w:r>
      <w:r w:rsidRPr="0070137E">
        <w:rPr>
          <w:rFonts w:ascii="Times New Roman" w:eastAsia="Times New Roman" w:hAnsi="Times New Roman" w:cs="Times New Roman"/>
          <w:color w:val="000000"/>
          <w:sz w:val="20"/>
          <w:szCs w:val="20"/>
        </w:rPr>
        <w:lastRenderedPageBreak/>
        <w:t xml:space="preserve">dengan objek lain yang berwujud. </w:t>
      </w:r>
    </w:p>
    <w:p w14:paraId="7355A6FA" w14:textId="0883080D" w:rsidR="00F66B42" w:rsidRDefault="002843DF" w:rsidP="005541EE">
      <w:pPr>
        <w:pBdr>
          <w:top w:val="nil"/>
          <w:left w:val="nil"/>
          <w:bottom w:val="nil"/>
          <w:right w:val="nil"/>
          <w:between w:val="nil"/>
        </w:pBdr>
        <w:spacing w:line="360" w:lineRule="auto"/>
        <w:ind w:firstLine="440"/>
        <w:jc w:val="both"/>
        <w:rPr>
          <w:rFonts w:ascii="Times New Roman" w:eastAsia="Times New Roman" w:hAnsi="Times New Roman" w:cs="Times New Roman"/>
          <w:color w:val="000000"/>
          <w:sz w:val="20"/>
          <w:szCs w:val="20"/>
        </w:rPr>
      </w:pPr>
      <w:r w:rsidRPr="002843DF">
        <w:rPr>
          <w:rFonts w:ascii="Times New Roman" w:eastAsia="Times New Roman" w:hAnsi="Times New Roman" w:cs="Times New Roman"/>
          <w:color w:val="000000"/>
          <w:sz w:val="20"/>
          <w:szCs w:val="20"/>
        </w:rPr>
        <w:t xml:space="preserve">Dengan merujuk pada penjelasan di atas, perumusan masalahnya adalah bagaimanakah </w:t>
      </w:r>
      <w:r w:rsidR="0070137E" w:rsidRPr="002843DF">
        <w:rPr>
          <w:rFonts w:ascii="Times New Roman" w:eastAsia="Times New Roman" w:hAnsi="Times New Roman" w:cs="Times New Roman"/>
          <w:color w:val="000000"/>
          <w:sz w:val="20"/>
          <w:szCs w:val="20"/>
        </w:rPr>
        <w:t>Karakteristik Intangible Asset Hak Cipta Sebagai Jaminan Kebendaan.</w:t>
      </w:r>
    </w:p>
    <w:p w14:paraId="37F3AFBE" w14:textId="65E1AD76" w:rsidR="00F66B42" w:rsidRPr="0070137E" w:rsidRDefault="00000000" w:rsidP="005541EE">
      <w:pPr>
        <w:pStyle w:val="ListParagraph"/>
        <w:numPr>
          <w:ilvl w:val="0"/>
          <w:numId w:val="2"/>
        </w:numPr>
        <w:pBdr>
          <w:top w:val="nil"/>
          <w:left w:val="nil"/>
          <w:bottom w:val="nil"/>
          <w:right w:val="nil"/>
          <w:between w:val="nil"/>
        </w:pBdr>
        <w:spacing w:line="360" w:lineRule="auto"/>
        <w:ind w:left="426"/>
        <w:jc w:val="both"/>
        <w:rPr>
          <w:color w:val="000000"/>
          <w:sz w:val="20"/>
          <w:szCs w:val="20"/>
        </w:rPr>
      </w:pPr>
      <w:r w:rsidRPr="0070137E">
        <w:rPr>
          <w:rFonts w:ascii="Times New Roman" w:eastAsia="Times New Roman" w:hAnsi="Times New Roman" w:cs="Times New Roman"/>
          <w:b/>
          <w:color w:val="000000"/>
          <w:sz w:val="20"/>
          <w:szCs w:val="20"/>
        </w:rPr>
        <w:t>Metode Penelitian, </w:t>
      </w:r>
    </w:p>
    <w:p w14:paraId="45D99FD9" w14:textId="2EDC1D03" w:rsidR="006F3028" w:rsidRPr="006F3028" w:rsidRDefault="006F3028"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6F3028">
        <w:rPr>
          <w:rFonts w:ascii="Times New Roman" w:eastAsia="Times New Roman" w:hAnsi="Times New Roman" w:cs="Times New Roman"/>
          <w:color w:val="000000"/>
          <w:sz w:val="20"/>
          <w:szCs w:val="20"/>
        </w:rPr>
        <w:t>Penelitian ini dipandang penting untuk dilakukan karena perkembangan ekonomi kreatif dan digitalisasi karya cipta telah melahirkan bentuk-bentuk kekayaan baru yang bersifat tak berwujud (intangible asset), namun memiliki nilai ekonomi yang nyata dan berkelanjutan. Dalam konteks tersebut, Hak Cipta tidak lagi semata diposisikan sebagai hak eksklusif yang bersifat perlindungan moral dan ekonomi, melainkan telah berkembang menjadi aset bernilai yang berpotensi dijadikan objek jaminan kebendaan. Meskipun demikian, secara normatif masih terdapat keraguan dan keterbatasan pemahaman mengenai karakteristik Hak Cipta sebagai benda dalam sistem hukum jaminan di Indonesia, sehingga diperlukan kajian hukum yang menegaskan kedudukan dan sifat kebendaannya.</w:t>
      </w:r>
    </w:p>
    <w:p w14:paraId="5943FBC0" w14:textId="4D51CA2A" w:rsidR="006F3028" w:rsidRPr="006F3028" w:rsidRDefault="006F3028"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6F3028">
        <w:rPr>
          <w:rFonts w:ascii="Times New Roman" w:eastAsia="Times New Roman" w:hAnsi="Times New Roman" w:cs="Times New Roman"/>
          <w:color w:val="000000"/>
          <w:sz w:val="20"/>
          <w:szCs w:val="20"/>
        </w:rPr>
        <w:t>Penelitian ini menggunakan pendekatan yuridis normatif dengan menelaah peraturan perundang-undangan yang berkaitan dengan hukum benda, hukum jaminan, dan hukum Hak Cipta sebagai bahan hukum primer. Bahan hukum sekunder diperoleh dari literatur ilmiah, pendapat para ahli, dan hasil penelitian terdahulu yang relevan, sedangkan bahan hukum tersier digunakan sebagai penunjang untuk memperjelas konsep dan terminologi hukum. Pendekatan ini dipilih untuk menguraikan secara sistematis hubungan antara norma yang seharusnya (das sollen) dan praktik hukum yang berkembang terkait pemanfaatan Hak Cipta sebagai jaminan kebendaan.</w:t>
      </w:r>
    </w:p>
    <w:p w14:paraId="353A499F" w14:textId="55C59170" w:rsidR="006F3028" w:rsidRPr="006F3028" w:rsidRDefault="006F3028"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6F3028">
        <w:rPr>
          <w:rFonts w:ascii="Times New Roman" w:eastAsia="Times New Roman" w:hAnsi="Times New Roman" w:cs="Times New Roman"/>
          <w:color w:val="000000"/>
          <w:sz w:val="20"/>
          <w:szCs w:val="20"/>
        </w:rPr>
        <w:t>Kontribusi penelitian ini terletak pada upaya penguatan konstruksi normatif Hak Cipta sebagai objek jaminan kebendaan dengan menekankan karakteristiknya sebagai aset immateriil yang memiliki kesamaan dengan benda dalam arti hukum. Dengan demikian, penelitian ini tidak hanya melengkapi kajian terdahulu yang umumnya berfokus pada aspek perlindungan dan pelanggaran Hak Cipta, tetapi juga memperluas diskursus hukum dengan menempatkan Hak Cipta dalam kerangka hukum jaminan kebendaan secara lebih komprehensif.</w:t>
      </w:r>
    </w:p>
    <w:p w14:paraId="3F3AF601" w14:textId="1827184E" w:rsidR="00F66B42" w:rsidRDefault="006F3028"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6F3028">
        <w:rPr>
          <w:rFonts w:ascii="Times New Roman" w:eastAsia="Times New Roman" w:hAnsi="Times New Roman" w:cs="Times New Roman"/>
          <w:color w:val="000000"/>
          <w:sz w:val="20"/>
          <w:szCs w:val="20"/>
        </w:rPr>
        <w:t xml:space="preserve">Sebagai arah penelitian, kajian ini diarahkan untuk menegaskan bahwa karakteristik Hak Cipta sebagai aset tak berwujud memungkinkan karya cipta diposisikan sebagai objek jaminan kekayaan sepanjang memenuhi syarat normatif </w:t>
      </w:r>
      <w:r w:rsidRPr="006F3028">
        <w:rPr>
          <w:rFonts w:ascii="Times New Roman" w:eastAsia="Times New Roman" w:hAnsi="Times New Roman" w:cs="Times New Roman"/>
          <w:color w:val="000000"/>
          <w:sz w:val="20"/>
          <w:szCs w:val="20"/>
        </w:rPr>
        <w:lastRenderedPageBreak/>
        <w:t>yang ditentukan oleh peraturan perundang-undangan. Temuan ini menjadi dasar dalam menarik kesimpulan bahwa perkembangan hukum jaminan di Indonesia perlu membuka ruang yang lebih adaptif terhadap pemanfaatan kekayaan intelektual sebagai instrumen pembiayaan berbasis aset.</w:t>
      </w:r>
    </w:p>
    <w:p w14:paraId="53FC6180" w14:textId="1791096B" w:rsidR="00F66B42" w:rsidRPr="006F3028" w:rsidRDefault="006F3028" w:rsidP="005541EE">
      <w:pPr>
        <w:widowControl/>
        <w:numPr>
          <w:ilvl w:val="0"/>
          <w:numId w:val="2"/>
        </w:numPr>
        <w:pBdr>
          <w:top w:val="nil"/>
          <w:left w:val="nil"/>
          <w:bottom w:val="nil"/>
          <w:right w:val="nil"/>
          <w:between w:val="nil"/>
        </w:pBdr>
        <w:spacing w:line="360" w:lineRule="auto"/>
        <w:ind w:left="440" w:hanging="440"/>
        <w:jc w:val="both"/>
        <w:rPr>
          <w:rFonts w:ascii="Times New Roman" w:eastAsia="Times New Roman" w:hAnsi="Times New Roman" w:cs="Times New Roman"/>
          <w:b/>
          <w:bCs/>
          <w:color w:val="000000"/>
          <w:sz w:val="20"/>
          <w:szCs w:val="20"/>
        </w:rPr>
      </w:pPr>
      <w:r w:rsidRPr="006F3028">
        <w:rPr>
          <w:rFonts w:ascii="Times New Roman" w:eastAsia="Times New Roman" w:hAnsi="Times New Roman" w:cs="Times New Roman"/>
          <w:b/>
          <w:bCs/>
          <w:color w:val="000000"/>
          <w:sz w:val="20"/>
          <w:szCs w:val="20"/>
        </w:rPr>
        <w:t>Hak Cipta sebagai Intangible Asset dan Jaminan Kebendaan dalam Perspektif Hukum Perdata</w:t>
      </w:r>
    </w:p>
    <w:p w14:paraId="15F38700" w14:textId="367B1B5E" w:rsidR="00881C30" w:rsidRPr="00881C30" w:rsidRDefault="00881C30"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881C30">
        <w:rPr>
          <w:rFonts w:ascii="Times New Roman" w:eastAsia="Times New Roman" w:hAnsi="Times New Roman" w:cs="Times New Roman"/>
          <w:color w:val="000000"/>
          <w:sz w:val="20"/>
          <w:szCs w:val="20"/>
        </w:rPr>
        <w:t>Perkembangan teknologi digital telah membawa perubahan fundamental terhadap cara karya cipta diproduksi, didistribusikan, dan dimonetisasi. Dalam ekosistem digital, karya cipta tidak lagi terbatas pada bentuk fisik, melainkan hadir sebagai aset tak berwujud (intangible asset) yang memiliki nilai ekonomi nyata dan berkelanjutan. Fenomena ini memperkuat posisi Hak Cipta sebagai bagian dari kekayaan yang dapat dimanfaatkan secara komersial dan berkontribusi terhadap peningkatan kesejahteraan pencipta serta pertumbuhan ekonomi kreatif nasional.</w:t>
      </w:r>
      <w:r>
        <w:rPr>
          <w:rStyle w:val="FootnoteReference"/>
          <w:rFonts w:ascii="Times New Roman" w:eastAsia="Times New Roman" w:hAnsi="Times New Roman" w:cs="Times New Roman"/>
          <w:color w:val="000000"/>
          <w:sz w:val="20"/>
          <w:szCs w:val="20"/>
        </w:rPr>
        <w:footnoteReference w:id="6"/>
      </w:r>
    </w:p>
    <w:p w14:paraId="1161DDAB" w14:textId="08CF8DE9" w:rsidR="00881C30" w:rsidRPr="00881C30" w:rsidRDefault="00881C30"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881C30">
        <w:rPr>
          <w:rFonts w:ascii="Times New Roman" w:eastAsia="Times New Roman" w:hAnsi="Times New Roman" w:cs="Times New Roman"/>
          <w:color w:val="000000"/>
          <w:sz w:val="20"/>
          <w:szCs w:val="20"/>
        </w:rPr>
        <w:t>Dalam konteks hukum, Hak Kekayaan Intelektual dipahami sebagai hak eksklusif yang diberikan oleh negara kepada subjek hukum atas hasil olah pikir manusia yang memiliki nilai ekonomi. Hak Cipta merupakan salah satu rezim HKI yang memiliki karakteristik unik karena perlindungannya lahir secara otomatis berdasarkan prinsip deklaratif, tanpa mensyaratkan pendaftaran sebagai syarat timbulnya hak.</w:t>
      </w:r>
      <w:r>
        <w:rPr>
          <w:rStyle w:val="FootnoteReference"/>
          <w:rFonts w:ascii="Times New Roman" w:eastAsia="Times New Roman" w:hAnsi="Times New Roman" w:cs="Times New Roman"/>
          <w:color w:val="000000"/>
          <w:sz w:val="20"/>
          <w:szCs w:val="20"/>
        </w:rPr>
        <w:footnoteReference w:id="7"/>
      </w:r>
      <w:r w:rsidRPr="00881C30">
        <w:rPr>
          <w:rFonts w:ascii="Times New Roman" w:eastAsia="Times New Roman" w:hAnsi="Times New Roman" w:cs="Times New Roman"/>
          <w:color w:val="000000"/>
          <w:sz w:val="20"/>
          <w:szCs w:val="20"/>
        </w:rPr>
        <w:t xml:space="preserve"> Meskipun demikian, pendaftaran Hak Cipta tetap memiliki arti penting sebagai alat pembuktian dan sarana pemenuhan asas publisitas dalam hubungan hukum keperdataan.</w:t>
      </w:r>
    </w:p>
    <w:p w14:paraId="71B1E7A1" w14:textId="3D24E3BB" w:rsidR="00881C30" w:rsidRPr="00881C30" w:rsidRDefault="00881C30"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881C30">
        <w:rPr>
          <w:rFonts w:ascii="Times New Roman" w:eastAsia="Times New Roman" w:hAnsi="Times New Roman" w:cs="Times New Roman"/>
          <w:color w:val="000000"/>
          <w:sz w:val="20"/>
          <w:szCs w:val="20"/>
        </w:rPr>
        <w:t>Hak Cipta mencakup dua dimensi utama, yaitu hak moral dan hak ekonomi. Hak moral bersifat melekat secara pribadi pada pencipta dan tidak dapat dialihkan, sedangkan hak ekonomi bersifat kebendaan karena dapat dialihkan, diwariskan, dilisensikan, dan dijadikan objek perjanjian.</w:t>
      </w:r>
      <w:r w:rsidR="008B405F">
        <w:rPr>
          <w:rStyle w:val="FootnoteReference"/>
          <w:rFonts w:ascii="Times New Roman" w:eastAsia="Times New Roman" w:hAnsi="Times New Roman" w:cs="Times New Roman"/>
          <w:color w:val="000000"/>
          <w:sz w:val="20"/>
          <w:szCs w:val="20"/>
        </w:rPr>
        <w:footnoteReference w:id="8"/>
      </w:r>
      <w:r w:rsidRPr="00881C30">
        <w:rPr>
          <w:rFonts w:ascii="Times New Roman" w:eastAsia="Times New Roman" w:hAnsi="Times New Roman" w:cs="Times New Roman"/>
          <w:color w:val="000000"/>
          <w:sz w:val="20"/>
          <w:szCs w:val="20"/>
        </w:rPr>
        <w:t xml:space="preserve"> Dimensi hak ekonomi inilah yang membuka ruang bagi Hak Cipta untuk diposisikan sebagai objek hukum dalam sistem hukum kebendaan.</w:t>
      </w:r>
      <w:r>
        <w:rPr>
          <w:rStyle w:val="FootnoteReference"/>
          <w:rFonts w:ascii="Times New Roman" w:eastAsia="Times New Roman" w:hAnsi="Times New Roman" w:cs="Times New Roman"/>
          <w:color w:val="000000"/>
          <w:sz w:val="20"/>
          <w:szCs w:val="20"/>
        </w:rPr>
        <w:footnoteReference w:id="9"/>
      </w:r>
    </w:p>
    <w:p w14:paraId="6F865814" w14:textId="2574B09A" w:rsidR="00881C30" w:rsidRPr="00881C30" w:rsidRDefault="00881C30"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881C30">
        <w:rPr>
          <w:rFonts w:ascii="Times New Roman" w:eastAsia="Times New Roman" w:hAnsi="Times New Roman" w:cs="Times New Roman"/>
          <w:color w:val="000000"/>
          <w:sz w:val="20"/>
          <w:szCs w:val="20"/>
        </w:rPr>
        <w:lastRenderedPageBreak/>
        <w:t>Dalam hukum perdata Indonesia, pengertian benda sebagaimana diatur dalam Pasal 499 KUHPerdata mencakup segala sesuatu yang dapat menjadi objek hak dan memiliki nilai kekayaan, baik berwujud maupun tidak berwujud. Dengan demikian, hukum kebendaan tidak membatasi objeknya hanya pada benda fisik, tetapi juga meliputi benda immateriil sepanjang dapat dikuasai, dialihkan, dan dinilai secara ekonomis.</w:t>
      </w:r>
      <w:r>
        <w:rPr>
          <w:rStyle w:val="FootnoteReference"/>
          <w:rFonts w:ascii="Times New Roman" w:eastAsia="Times New Roman" w:hAnsi="Times New Roman" w:cs="Times New Roman"/>
          <w:color w:val="000000"/>
          <w:sz w:val="20"/>
          <w:szCs w:val="20"/>
        </w:rPr>
        <w:footnoteReference w:id="10"/>
      </w:r>
      <w:r w:rsidRPr="00881C30">
        <w:rPr>
          <w:rFonts w:ascii="Times New Roman" w:eastAsia="Times New Roman" w:hAnsi="Times New Roman" w:cs="Times New Roman"/>
          <w:color w:val="000000"/>
          <w:sz w:val="20"/>
          <w:szCs w:val="20"/>
        </w:rPr>
        <w:t xml:space="preserve"> Pandangan ini sejalan dengan perkembangan doktrin modern yang menempatkan kekayaan intelektual sebagai bagian dari benda bergerak tidak berwujud.</w:t>
      </w:r>
    </w:p>
    <w:p w14:paraId="3766A67A" w14:textId="2C99631B" w:rsidR="00881C30" w:rsidRPr="00881C30" w:rsidRDefault="00881C30"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881C30">
        <w:rPr>
          <w:rFonts w:ascii="Times New Roman" w:eastAsia="Times New Roman" w:hAnsi="Times New Roman" w:cs="Times New Roman"/>
          <w:color w:val="000000"/>
          <w:sz w:val="20"/>
          <w:szCs w:val="20"/>
        </w:rPr>
        <w:t>Hak kebendaan memiliki karakteristik utama, antara lain bersifat absolut, mengikuti objeknya (droit de suite), memberikan hak preferen (droit de préférence), serta dapat dipertahankan terhadap siapa pun. Karakteristik tersebut juga tercermin dalam Hak Cipta, khususnya pada aspek hak ekonomi, karena hak tersebut tetap melekat pada karya cipta meskipun terjadi pengalihan penguasaan atau pemanfaatan oleh pihak lain melalui mekanisme lisensi.</w:t>
      </w:r>
      <w:r>
        <w:rPr>
          <w:rStyle w:val="FootnoteReference"/>
          <w:rFonts w:ascii="Times New Roman" w:eastAsia="Times New Roman" w:hAnsi="Times New Roman" w:cs="Times New Roman"/>
          <w:color w:val="000000"/>
          <w:sz w:val="20"/>
          <w:szCs w:val="20"/>
        </w:rPr>
        <w:footnoteReference w:id="11"/>
      </w:r>
    </w:p>
    <w:p w14:paraId="351657C5" w14:textId="48D690E0" w:rsidR="00881C30" w:rsidRPr="00881C30" w:rsidRDefault="00881C30"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881C30">
        <w:rPr>
          <w:rFonts w:ascii="Times New Roman" w:eastAsia="Times New Roman" w:hAnsi="Times New Roman" w:cs="Times New Roman"/>
          <w:color w:val="000000"/>
          <w:sz w:val="20"/>
          <w:szCs w:val="20"/>
        </w:rPr>
        <w:t>Penguatan posisi Hak Cipta sebagai benda terlihat dari adanya pengakuan normatif terhadap kemungkinan pengalihan dan pembebanan Hak Cipta. Pasal 16 ayat (2) Undang-Undang Hak Cipta secara tegas menyatakan bahwa Hak Cipta dapat dialihkan melalui berbagai cara yang dibenarkan oleh hukum, termasuk perjanjian tertulis. Ketentuan ini menunjukkan bahwa pembentuk undang-undang telah menempatkan Hak Cipta sebagai objek yang memiliki karakter kebendaan.</w:t>
      </w:r>
      <w:r w:rsidR="00B571B1">
        <w:rPr>
          <w:rStyle w:val="FootnoteReference"/>
          <w:rFonts w:ascii="Times New Roman" w:eastAsia="Times New Roman" w:hAnsi="Times New Roman" w:cs="Times New Roman"/>
          <w:color w:val="000000"/>
          <w:sz w:val="20"/>
          <w:szCs w:val="20"/>
        </w:rPr>
        <w:footnoteReference w:id="12"/>
      </w:r>
    </w:p>
    <w:p w14:paraId="5538A94D" w14:textId="1B34A8A9" w:rsidR="00881C30" w:rsidRPr="00881C30" w:rsidRDefault="00881C30"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881C30">
        <w:rPr>
          <w:rFonts w:ascii="Times New Roman" w:eastAsia="Times New Roman" w:hAnsi="Times New Roman" w:cs="Times New Roman"/>
          <w:color w:val="000000"/>
          <w:sz w:val="20"/>
          <w:szCs w:val="20"/>
        </w:rPr>
        <w:t>Dalam konteks hukum jaminan, Undang-Undang Jaminan Fidusia memberikan ruang yang cukup luas terhadap objek jaminan, yaitu meliputi benda bergerak baik berwujud maupun tidak berwujud. Dengan demikian, secara normatif tidak terdapat larangan untuk menjadikan Hak Cipta sebagai objek jaminan kebendaan sepanjang memenuhi persyaratan administratif dan dapat dibuktikan kepemilikannya.</w:t>
      </w:r>
      <w:r w:rsidR="00B571B1">
        <w:rPr>
          <w:rStyle w:val="FootnoteReference"/>
          <w:rFonts w:ascii="Times New Roman" w:eastAsia="Times New Roman" w:hAnsi="Times New Roman" w:cs="Times New Roman"/>
          <w:color w:val="000000"/>
          <w:sz w:val="20"/>
          <w:szCs w:val="20"/>
        </w:rPr>
        <w:footnoteReference w:id="13"/>
      </w:r>
      <w:r w:rsidRPr="00881C30">
        <w:rPr>
          <w:rFonts w:ascii="Times New Roman" w:eastAsia="Times New Roman" w:hAnsi="Times New Roman" w:cs="Times New Roman"/>
          <w:color w:val="000000"/>
          <w:sz w:val="20"/>
          <w:szCs w:val="20"/>
        </w:rPr>
        <w:t xml:space="preserve"> Beberapa kajian menyebutkan bahwa sertifikat Hak Cipta yang diterbitkan oleh Direktorat Jenderal Kekayaan Intelektual dapat berfungsi sebagai dokumen </w:t>
      </w:r>
      <w:r w:rsidRPr="00881C30">
        <w:rPr>
          <w:rFonts w:ascii="Times New Roman" w:eastAsia="Times New Roman" w:hAnsi="Times New Roman" w:cs="Times New Roman"/>
          <w:color w:val="000000"/>
          <w:sz w:val="20"/>
          <w:szCs w:val="20"/>
        </w:rPr>
        <w:lastRenderedPageBreak/>
        <w:t>pendukung untuk membuktikan eksistensi dan kepemilikan hak dalam perjanjian fidusia.</w:t>
      </w:r>
      <w:r w:rsidR="00B571B1">
        <w:rPr>
          <w:rStyle w:val="FootnoteReference"/>
          <w:rFonts w:ascii="Times New Roman" w:eastAsia="Times New Roman" w:hAnsi="Times New Roman" w:cs="Times New Roman"/>
          <w:color w:val="000000"/>
          <w:sz w:val="20"/>
          <w:szCs w:val="20"/>
        </w:rPr>
        <w:footnoteReference w:id="14"/>
      </w:r>
    </w:p>
    <w:p w14:paraId="6B34749B" w14:textId="09326E4E" w:rsidR="00881C30" w:rsidRPr="00881C30" w:rsidRDefault="00881C30"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881C30">
        <w:rPr>
          <w:rFonts w:ascii="Times New Roman" w:eastAsia="Times New Roman" w:hAnsi="Times New Roman" w:cs="Times New Roman"/>
          <w:color w:val="000000"/>
          <w:sz w:val="20"/>
          <w:szCs w:val="20"/>
        </w:rPr>
        <w:t>Hak Cipta sebagai intangible asset memiliki kesamaan karakter dengan benda bergerak, yaitu dapat dialihkan, memiliki nilai ekonomis, dan dapat menjadi objek perikatan. Kesamaan ini memperkuat argumentasi bahwa Hak Cipta layak diperlakukan sebagai jaminan kebendaan, terutama dalam rangka mendorong akses pembiayaan bagi pelaku industri kreatif.</w:t>
      </w:r>
      <w:r w:rsidR="00B571B1">
        <w:rPr>
          <w:rStyle w:val="FootnoteReference"/>
          <w:rFonts w:ascii="Times New Roman" w:eastAsia="Times New Roman" w:hAnsi="Times New Roman" w:cs="Times New Roman"/>
          <w:color w:val="000000"/>
          <w:sz w:val="20"/>
          <w:szCs w:val="20"/>
        </w:rPr>
        <w:footnoteReference w:id="15"/>
      </w:r>
      <w:r w:rsidRPr="00881C30">
        <w:rPr>
          <w:rFonts w:ascii="Times New Roman" w:eastAsia="Times New Roman" w:hAnsi="Times New Roman" w:cs="Times New Roman"/>
          <w:color w:val="000000"/>
          <w:sz w:val="20"/>
          <w:szCs w:val="20"/>
        </w:rPr>
        <w:t xml:space="preserve"> Namun demikian, penerapan Hak Cipta sebagai jaminan dalam praktik perbankan masih menghadapi kendala, terutama terkait dengan mekanisme penilaian nilai ekonomis karya cipta yang belum memiliki standar baku dan cenderung subjektif.</w:t>
      </w:r>
      <w:r w:rsidR="00B571B1">
        <w:rPr>
          <w:rStyle w:val="FootnoteReference"/>
          <w:rFonts w:ascii="Times New Roman" w:eastAsia="Times New Roman" w:hAnsi="Times New Roman" w:cs="Times New Roman"/>
          <w:color w:val="000000"/>
          <w:sz w:val="20"/>
          <w:szCs w:val="20"/>
        </w:rPr>
        <w:footnoteReference w:id="16"/>
      </w:r>
    </w:p>
    <w:p w14:paraId="476E33B8" w14:textId="12DE87CD" w:rsidR="00881C30" w:rsidRPr="00881C30" w:rsidRDefault="00881C30"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881C30">
        <w:rPr>
          <w:rFonts w:ascii="Times New Roman" w:eastAsia="Times New Roman" w:hAnsi="Times New Roman" w:cs="Times New Roman"/>
          <w:color w:val="000000"/>
          <w:sz w:val="20"/>
          <w:szCs w:val="20"/>
        </w:rPr>
        <w:t>Kendala tersebut menunjukkan bahwa meskipun secara normatif Hak Cipta telah memenuhi karakteristik sebagai objek jaminan kebendaan, secara praktis masih diperlukan penguatan regulasi teknis dan kebijakan pendukung. Negara memiliki peran strategis untuk menyediakan kerangka hukum yang lebih adaptif, termasuk pedoman penilaian kekayaan intelektual, agar Hak Cipta dapat dimanfaatkan secara optimal sebagai instrumen jaminan tanpa mengurangi kepastian hukum bagi para pihak.</w:t>
      </w:r>
      <w:r w:rsidR="002A5AAB">
        <w:rPr>
          <w:rStyle w:val="FootnoteReference"/>
          <w:rFonts w:ascii="Times New Roman" w:eastAsia="Times New Roman" w:hAnsi="Times New Roman" w:cs="Times New Roman"/>
          <w:color w:val="000000"/>
          <w:sz w:val="20"/>
          <w:szCs w:val="20"/>
        </w:rPr>
        <w:footnoteReference w:id="17"/>
      </w:r>
    </w:p>
    <w:p w14:paraId="49AD7B8A" w14:textId="27B37298" w:rsidR="00F66B42" w:rsidRDefault="00881C30"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881C30">
        <w:rPr>
          <w:rFonts w:ascii="Times New Roman" w:eastAsia="Times New Roman" w:hAnsi="Times New Roman" w:cs="Times New Roman"/>
          <w:color w:val="000000"/>
          <w:sz w:val="20"/>
          <w:szCs w:val="20"/>
        </w:rPr>
        <w:t>Dengan demikian, pengakuan Hak Cipta sebagai jaminan kebendaan merupakan refleksi dari perkembangan hukum kebendaan yang responsif terhadap dinamika ekonomi digital. Hak Cipta tidak lagi semata dipahami sebagai instrumen perlindungan hukum, tetapi juga sebagai kekayaan immateriil yang memiliki fungsi ekonomi dan dapat berperan sebagai agunan dalam sistem pembiayaan modern</w:t>
      </w:r>
      <w:r w:rsidR="005541EE">
        <w:rPr>
          <w:rFonts w:ascii="Times New Roman" w:eastAsia="Times New Roman" w:hAnsi="Times New Roman" w:cs="Times New Roman"/>
          <w:color w:val="000000"/>
          <w:sz w:val="20"/>
          <w:szCs w:val="20"/>
        </w:rPr>
        <w:t>.</w:t>
      </w:r>
      <w:r w:rsidR="002A5AAB">
        <w:rPr>
          <w:rStyle w:val="FootnoteReference"/>
          <w:rFonts w:ascii="Times New Roman" w:eastAsia="Times New Roman" w:hAnsi="Times New Roman" w:cs="Times New Roman"/>
          <w:color w:val="000000"/>
          <w:sz w:val="20"/>
          <w:szCs w:val="20"/>
        </w:rPr>
        <w:footnoteReference w:id="18"/>
      </w:r>
    </w:p>
    <w:p w14:paraId="28E60386" w14:textId="77777777" w:rsidR="002A5AAB" w:rsidRDefault="002A5AAB"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p>
    <w:p w14:paraId="02549B57" w14:textId="77777777" w:rsidR="002A5AAB" w:rsidRPr="005541EE" w:rsidRDefault="002A5AAB"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p>
    <w:p w14:paraId="1F692764" w14:textId="76D1BEF2" w:rsidR="00F66B42" w:rsidRDefault="00000000" w:rsidP="005541EE">
      <w:pPr>
        <w:widowControl/>
        <w:numPr>
          <w:ilvl w:val="0"/>
          <w:numId w:val="2"/>
        </w:numPr>
        <w:pBdr>
          <w:top w:val="nil"/>
          <w:left w:val="nil"/>
          <w:bottom w:val="nil"/>
          <w:right w:val="nil"/>
          <w:between w:val="nil"/>
        </w:pBdr>
        <w:spacing w:line="360" w:lineRule="auto"/>
        <w:ind w:left="440" w:hanging="4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Penutup</w:t>
      </w:r>
    </w:p>
    <w:p w14:paraId="765C3590" w14:textId="7AA298FB" w:rsidR="005541EE" w:rsidRPr="005541EE" w:rsidRDefault="005541EE"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5541EE">
        <w:rPr>
          <w:rFonts w:ascii="Times New Roman" w:eastAsia="Times New Roman" w:hAnsi="Times New Roman" w:cs="Times New Roman"/>
          <w:color w:val="000000"/>
          <w:sz w:val="20"/>
          <w:szCs w:val="20"/>
        </w:rPr>
        <w:t>Berdasarkan hasil pembahasan dan analisis normatif yang telah dilakukan, dapat disimpulkan bahwa Hak Cipta sebagai aset tak berwujud (intangible asset) memiliki karakteristik kebendaan yang memungkinkan untuk diposisikan sebagai objek jaminan kebendaan dalam sistem hukum perdata Indonesia. Karakteristik tersebut tercermin dari adanya nilai ekonomis, sifat dapat dialihkan, serta pengakuan normatif terhadap hak ekonomi pencipta yang dapat diperlakukan sebagai kekayaan. Dalam kerangka hukum kebendaan, Hak Cipta memenuhi unsur sebagai benda bergerak tidak berwujud yang dapat menjadi objek perikatan dan jaminan sepanjang memenuhi ketentuan hukum yang berlaku.</w:t>
      </w:r>
    </w:p>
    <w:p w14:paraId="24F85D16" w14:textId="4AD3DF34" w:rsidR="005541EE" w:rsidRPr="005541EE" w:rsidRDefault="005541EE"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5541EE">
        <w:rPr>
          <w:rFonts w:ascii="Times New Roman" w:eastAsia="Times New Roman" w:hAnsi="Times New Roman" w:cs="Times New Roman"/>
          <w:color w:val="000000"/>
          <w:sz w:val="20"/>
          <w:szCs w:val="20"/>
        </w:rPr>
        <w:t>Pengaturan dalam Undang-Undang Hak Cipta dan Undang-Undang Jaminan Fidusia menunjukkan bahwa secara normatif tidak terdapat hambatan hukum bagi pemanfaatan Hak Cipta sebagai jaminan kebendaan. Pendaftaran Hak Cipta dan penerbitan sertifikat oleh negara berfungsi sebagai alat pembuktian kepemilikan serta sarana pemenuhan asas publisitas, sehingga memperkuat kedudukan Hak Cipta sebagai objek jaminan. Dengan demikian, Hak Cipta tidak hanya berfungsi sebagai instrumen perlindungan hukum terhadap karya intelektual, tetapi juga sebagai kekayaan immateriil yang dapat dimanfaatkan dalam skema pembiayaan berbasis aset.</w:t>
      </w:r>
    </w:p>
    <w:p w14:paraId="169D9354" w14:textId="3D2697D8" w:rsidR="005541EE" w:rsidRPr="005541EE" w:rsidRDefault="005541EE"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5541EE">
        <w:rPr>
          <w:rFonts w:ascii="Times New Roman" w:eastAsia="Times New Roman" w:hAnsi="Times New Roman" w:cs="Times New Roman"/>
          <w:color w:val="000000"/>
          <w:sz w:val="20"/>
          <w:szCs w:val="20"/>
        </w:rPr>
        <w:t>Namun demikian, implementasi Hak Cipta sebagai jaminan kebendaan dalam praktik masih menghadapi tantangan, khususnya terkait dengan mekanisme penilaian nilai ekonomis karya cipta yang belum memiliki standar baku dan cenderung bersifat subjektif. Kondisi ini berdampak pada kehati-hatian lembaga pembiayaan dalam menerima Hak Cipta sebagai agunan dan menunjukkan perlunya penguatan regulasi teknis yang lebih adaptif terhadap perkembangan ekonomi kreatif dan digital.</w:t>
      </w:r>
    </w:p>
    <w:p w14:paraId="6E77D5CB" w14:textId="3629BF74" w:rsidR="005541EE" w:rsidRDefault="005541EE"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r w:rsidRPr="005541EE">
        <w:rPr>
          <w:rFonts w:ascii="Times New Roman" w:eastAsia="Times New Roman" w:hAnsi="Times New Roman" w:cs="Times New Roman"/>
          <w:color w:val="000000"/>
          <w:sz w:val="20"/>
          <w:szCs w:val="20"/>
        </w:rPr>
        <w:t>Sebagai rekomendasi, penelitian selanjutnya diharapkan dapat mengkaji lebih lanjut model valuasi Hak Cipta sebagai objek jaminan kebendaan, baik melalui pendekatan komparatif dengan negara lain maupun melalui analisis empiris terhadap praktik pembiayaan berbasis kekayaan intelektual. Kajian lanjutan tersebut penting untuk memperkuat kepastian hukum dan mendorong optimalisasi pemanfaatan Hak Cipta sebagai instrumen pembiayaan yang berkelanjutan bagi pelaku industri kreatif di Indonesia.</w:t>
      </w:r>
    </w:p>
    <w:p w14:paraId="50301CC2" w14:textId="77777777" w:rsidR="002A5AAB" w:rsidRPr="005541EE" w:rsidRDefault="002A5AAB" w:rsidP="005541EE">
      <w:pPr>
        <w:widowControl/>
        <w:pBdr>
          <w:top w:val="nil"/>
          <w:left w:val="nil"/>
          <w:bottom w:val="nil"/>
          <w:right w:val="nil"/>
          <w:between w:val="nil"/>
        </w:pBdr>
        <w:spacing w:line="360" w:lineRule="auto"/>
        <w:ind w:left="4" w:firstLine="436"/>
        <w:jc w:val="both"/>
        <w:rPr>
          <w:rFonts w:ascii="Times New Roman" w:eastAsia="Times New Roman" w:hAnsi="Times New Roman" w:cs="Times New Roman"/>
          <w:color w:val="000000"/>
          <w:sz w:val="20"/>
          <w:szCs w:val="20"/>
        </w:rPr>
      </w:pPr>
    </w:p>
    <w:p w14:paraId="7367AC49" w14:textId="77777777" w:rsidR="00F66B42" w:rsidRDefault="00000000" w:rsidP="005541EE">
      <w:pPr>
        <w:pStyle w:val="Heading1"/>
        <w:spacing w:line="360" w:lineRule="auto"/>
        <w:ind w:left="0" w:firstLine="0"/>
        <w:rPr>
          <w:rFonts w:ascii="Times New Roman" w:eastAsia="Times New Roman" w:hAnsi="Times New Roman" w:cs="Times New Roman"/>
        </w:rPr>
      </w:pPr>
      <w:r>
        <w:rPr>
          <w:rFonts w:ascii="Times New Roman" w:eastAsia="Times New Roman" w:hAnsi="Times New Roman" w:cs="Times New Roman"/>
        </w:rPr>
        <w:lastRenderedPageBreak/>
        <w:t xml:space="preserve">References </w:t>
      </w:r>
    </w:p>
    <w:p w14:paraId="53BA7BD0" w14:textId="11C14358" w:rsidR="002A5AAB" w:rsidRPr="002A5AAB" w:rsidRDefault="002A5AAB" w:rsidP="002A5AAB">
      <w:pPr>
        <w:adjustRightInd w:val="0"/>
        <w:spacing w:line="360" w:lineRule="auto"/>
        <w:ind w:left="480" w:hanging="480"/>
        <w:jc w:val="both"/>
        <w:rPr>
          <w:rFonts w:cs="Times New Roman"/>
          <w:noProof/>
        </w:rPr>
      </w:pPr>
      <w:r>
        <w:fldChar w:fldCharType="begin" w:fldLock="1"/>
      </w:r>
      <w:r>
        <w:instrText xml:space="preserve">ADDIN Mendeley Bibliography CSL_BIBLIOGRAPHY </w:instrText>
      </w:r>
      <w:r>
        <w:fldChar w:fldCharType="separate"/>
      </w:r>
      <w:r w:rsidRPr="002A5AAB">
        <w:rPr>
          <w:rFonts w:cs="Times New Roman"/>
          <w:noProof/>
        </w:rPr>
        <w:t xml:space="preserve">Agus Sardjono. “Hak Cipta Sebagai Objek Hak Milik Dalam Perspektif Hukum Perdata.” </w:t>
      </w:r>
      <w:r w:rsidRPr="002A5AAB">
        <w:rPr>
          <w:rFonts w:cs="Times New Roman"/>
          <w:i/>
          <w:iCs/>
          <w:noProof/>
        </w:rPr>
        <w:t>IUSTUM, Jurnal Hukum IUS QUIA</w:t>
      </w:r>
      <w:r w:rsidRPr="002A5AAB">
        <w:rPr>
          <w:rFonts w:cs="Times New Roman"/>
          <w:noProof/>
        </w:rPr>
        <w:t xml:space="preserve"> 26, no. 3 (2019): 489–507.</w:t>
      </w:r>
    </w:p>
    <w:p w14:paraId="342CBC6B"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Chritie, Kendelif Kheista Evellyn Abigael Rhemrev Michelle. “Implementasi Hukum Benda (Zaak) Dalam Perspektif Hukum Perdata Indonesia.” </w:t>
      </w:r>
      <w:r w:rsidRPr="002A5AAB">
        <w:rPr>
          <w:rFonts w:cs="Times New Roman"/>
          <w:i/>
          <w:iCs/>
          <w:noProof/>
        </w:rPr>
        <w:t>Jurnal Kewarganegaraan</w:t>
      </w:r>
      <w:r w:rsidRPr="002A5AAB">
        <w:rPr>
          <w:rFonts w:cs="Times New Roman"/>
          <w:noProof/>
        </w:rPr>
        <w:t xml:space="preserve"> 8, no. 1 (2024).</w:t>
      </w:r>
    </w:p>
    <w:p w14:paraId="33453741"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Farida Patittingi. “Kekayaan Intelektual Sebagai Objek Jaminan Fidusia.” </w:t>
      </w:r>
      <w:r w:rsidRPr="002A5AAB">
        <w:rPr>
          <w:rFonts w:cs="Times New Roman"/>
          <w:i/>
          <w:iCs/>
          <w:noProof/>
        </w:rPr>
        <w:t>Jurnal Mimbar Hukum</w:t>
      </w:r>
      <w:r w:rsidRPr="002A5AAB">
        <w:rPr>
          <w:rFonts w:cs="Times New Roman"/>
          <w:noProof/>
        </w:rPr>
        <w:t xml:space="preserve"> 29, no. 1 (2017): 134–150.</w:t>
      </w:r>
    </w:p>
    <w:p w14:paraId="01657F0D"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Hariyani, Iswi. </w:t>
      </w:r>
      <w:r w:rsidRPr="002A5AAB">
        <w:rPr>
          <w:rFonts w:cs="Times New Roman"/>
          <w:i/>
          <w:iCs/>
          <w:noProof/>
        </w:rPr>
        <w:t>Prosedur Mengurus HAKI Yang Benar, Cet.1</w:t>
      </w:r>
      <w:r w:rsidRPr="002A5AAB">
        <w:rPr>
          <w:rFonts w:cs="Times New Roman"/>
          <w:noProof/>
        </w:rPr>
        <w:t>. Yogyakarta: Pustaka Yustisia, 2010.</w:t>
      </w:r>
    </w:p>
    <w:p w14:paraId="2DC7BF4F"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Indonesia. Undang-Undang Nomor 28 Tahun 2014 tentang Hak Cipta, Pasal 16 ayat (2). (2014).</w:t>
      </w:r>
    </w:p>
    <w:p w14:paraId="63030C45"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Undang-Undang Nomor 42 Tahun 1999 tentang Jaminan Fidusia. (1999).</w:t>
      </w:r>
    </w:p>
    <w:p w14:paraId="06FA9EDB"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Jened, Rahmi. </w:t>
      </w:r>
      <w:r w:rsidRPr="002A5AAB">
        <w:rPr>
          <w:rFonts w:cs="Times New Roman"/>
          <w:i/>
          <w:iCs/>
          <w:noProof/>
        </w:rPr>
        <w:t>Hukum Hak Cipta (Copyright’s Law)</w:t>
      </w:r>
      <w:r w:rsidRPr="002A5AAB">
        <w:rPr>
          <w:rFonts w:cs="Times New Roman"/>
          <w:noProof/>
        </w:rPr>
        <w:t>. Bandung: Citra Aditya Bakti, 2014.</w:t>
      </w:r>
    </w:p>
    <w:p w14:paraId="57ACE304"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Komang Ari Febriani, I Made Sarjana. “Analisis Yuridis Kekayaan Intelektual Yang DIbebankan Sebagai Jaminan Fidusia Dari Perspektif Ekonomi Kreatif.” </w:t>
      </w:r>
      <w:r w:rsidRPr="002A5AAB">
        <w:rPr>
          <w:rFonts w:cs="Times New Roman"/>
          <w:i/>
          <w:iCs/>
          <w:noProof/>
        </w:rPr>
        <w:t>Ethics and Law Journal Business and Notary</w:t>
      </w:r>
      <w:r w:rsidRPr="002A5AAB">
        <w:rPr>
          <w:rFonts w:cs="Times New Roman"/>
          <w:noProof/>
        </w:rPr>
        <w:t xml:space="preserve"> 2, no. 4 (2024).</w:t>
      </w:r>
    </w:p>
    <w:p w14:paraId="1E8DF7C8"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Lutfi Ulinnuha. “Penggunaan Hak Cipta Sebagai Objek Jaminan Fidusia.” </w:t>
      </w:r>
      <w:r w:rsidRPr="002A5AAB">
        <w:rPr>
          <w:rFonts w:cs="Times New Roman"/>
          <w:i/>
          <w:iCs/>
          <w:noProof/>
        </w:rPr>
        <w:t>Journal of Private and Commercial Law</w:t>
      </w:r>
      <w:r w:rsidRPr="002A5AAB">
        <w:rPr>
          <w:rFonts w:cs="Times New Roman"/>
          <w:noProof/>
        </w:rPr>
        <w:t xml:space="preserve"> 1, no. 1 (2017).</w:t>
      </w:r>
    </w:p>
    <w:p w14:paraId="476779A4"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Rian Adhivira Prabowo. “Ekonomi Kreatif Dan Perlindungan Hak Kekayaan Intelektual Di Era Digital.” </w:t>
      </w:r>
      <w:r w:rsidRPr="002A5AAB">
        <w:rPr>
          <w:rFonts w:cs="Times New Roman"/>
          <w:i/>
          <w:iCs/>
          <w:noProof/>
        </w:rPr>
        <w:t>Jurnal RechtsVinding</w:t>
      </w:r>
      <w:r w:rsidRPr="002A5AAB">
        <w:rPr>
          <w:rFonts w:cs="Times New Roman"/>
          <w:noProof/>
        </w:rPr>
        <w:t xml:space="preserve"> 10, no. 2 (2021): 245–260.</w:t>
      </w:r>
    </w:p>
    <w:p w14:paraId="67B25514"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lastRenderedPageBreak/>
        <w:t xml:space="preserve">Riswandi, Budi Agus. </w:t>
      </w:r>
      <w:r w:rsidRPr="002A5AAB">
        <w:rPr>
          <w:rFonts w:cs="Times New Roman"/>
          <w:i/>
          <w:iCs/>
          <w:noProof/>
        </w:rPr>
        <w:t>Hak Cipta Di Internet: Aspek Hukum Dan Permasalahannya</w:t>
      </w:r>
      <w:r w:rsidRPr="002A5AAB">
        <w:rPr>
          <w:rFonts w:cs="Times New Roman"/>
          <w:noProof/>
        </w:rPr>
        <w:t>. Yogyakarta: FH UII Press, 2017.</w:t>
      </w:r>
    </w:p>
    <w:p w14:paraId="3F76CB90"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Subekti. </w:t>
      </w:r>
      <w:r w:rsidRPr="002A5AAB">
        <w:rPr>
          <w:rFonts w:cs="Times New Roman"/>
          <w:i/>
          <w:iCs/>
          <w:noProof/>
        </w:rPr>
        <w:t>Pokok-Pokok Hukum Perdata</w:t>
      </w:r>
      <w:r w:rsidRPr="002A5AAB">
        <w:rPr>
          <w:rFonts w:cs="Times New Roman"/>
          <w:noProof/>
        </w:rPr>
        <w:t>. Jakarta: Intermasa, 2003.</w:t>
      </w:r>
    </w:p>
    <w:p w14:paraId="4B6C3159"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Susy Susilawati. “Hak Cipta Sebagai Aset Tidak Berwujud Dalam Hukum Jaminan.” </w:t>
      </w:r>
      <w:r w:rsidRPr="002A5AAB">
        <w:rPr>
          <w:rFonts w:cs="Times New Roman"/>
          <w:i/>
          <w:iCs/>
          <w:noProof/>
        </w:rPr>
        <w:t>Jurnal Yuridika</w:t>
      </w:r>
      <w:r w:rsidRPr="002A5AAB">
        <w:rPr>
          <w:rFonts w:cs="Times New Roman"/>
          <w:noProof/>
        </w:rPr>
        <w:t xml:space="preserve"> 35, no. 2 (2020): 289–308.</w:t>
      </w:r>
    </w:p>
    <w:p w14:paraId="10ADFB9A"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Suyud Margono. “Valuasi Hak Kekayaan Intelektual Sebagai Jaminan Kredit.” </w:t>
      </w:r>
      <w:r w:rsidRPr="002A5AAB">
        <w:rPr>
          <w:rFonts w:cs="Times New Roman"/>
          <w:i/>
          <w:iCs/>
          <w:noProof/>
        </w:rPr>
        <w:t>Journal of Intellectual Property Rights</w:t>
      </w:r>
      <w:r w:rsidRPr="002A5AAB">
        <w:rPr>
          <w:rFonts w:cs="Times New Roman"/>
          <w:noProof/>
        </w:rPr>
        <w:t xml:space="preserve"> 24, no. 4 (2019): 161–170.</w:t>
      </w:r>
    </w:p>
    <w:p w14:paraId="7D99F55E"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Usanti, Trisadini Prasastinah. “Kelahiran Hak Kebendaan.” </w:t>
      </w:r>
      <w:r w:rsidRPr="002A5AAB">
        <w:rPr>
          <w:rFonts w:cs="Times New Roman"/>
          <w:i/>
          <w:iCs/>
          <w:noProof/>
        </w:rPr>
        <w:t>Jurnal Perspektif</w:t>
      </w:r>
      <w:r w:rsidRPr="002A5AAB">
        <w:rPr>
          <w:rFonts w:cs="Times New Roman"/>
          <w:noProof/>
        </w:rPr>
        <w:t xml:space="preserve"> XVII, no. 1 (2012): 45.</w:t>
      </w:r>
    </w:p>
    <w:p w14:paraId="166720B8"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Vafet Febrian Valentino Tololiu, Muh Jufri Ahmad. “Kedudukan Barang Virtual Menurut Hukum Benda Indonesia Yang Diatur Dalam KUHPerdata Buku Kedua Tentang Barang.” </w:t>
      </w:r>
      <w:r w:rsidRPr="002A5AAB">
        <w:rPr>
          <w:rFonts w:cs="Times New Roman"/>
          <w:i/>
          <w:iCs/>
          <w:noProof/>
        </w:rPr>
        <w:t>Bureaucracy Journal of Law and Sosial-Political Governance</w:t>
      </w:r>
      <w:r w:rsidRPr="002A5AAB">
        <w:rPr>
          <w:rFonts w:cs="Times New Roman"/>
          <w:noProof/>
        </w:rPr>
        <w:t xml:space="preserve"> 3, no. 2 (2023).</w:t>
      </w:r>
    </w:p>
    <w:p w14:paraId="0D5EF934" w14:textId="77777777" w:rsidR="002A5AAB" w:rsidRPr="002A5AAB" w:rsidRDefault="002A5AAB" w:rsidP="002A5AAB">
      <w:pPr>
        <w:adjustRightInd w:val="0"/>
        <w:spacing w:line="360" w:lineRule="auto"/>
        <w:ind w:left="480" w:hanging="480"/>
        <w:jc w:val="both"/>
        <w:rPr>
          <w:rFonts w:cs="Times New Roman"/>
          <w:noProof/>
        </w:rPr>
      </w:pPr>
      <w:r w:rsidRPr="002A5AAB">
        <w:rPr>
          <w:rFonts w:cs="Times New Roman"/>
          <w:noProof/>
        </w:rPr>
        <w:t xml:space="preserve">Vera Ayu Riandini, Lisa Gusrianti. “Analisis Keterkaitan Perjanjian Dan Perlindungan Hak Cipta Karya Fotografi Di Indonesia.” </w:t>
      </w:r>
      <w:r w:rsidRPr="002A5AAB">
        <w:rPr>
          <w:rFonts w:cs="Times New Roman"/>
          <w:i/>
          <w:iCs/>
          <w:noProof/>
        </w:rPr>
        <w:t>Jurnal Komunikasi Hukum</w:t>
      </w:r>
      <w:r w:rsidRPr="002A5AAB">
        <w:rPr>
          <w:rFonts w:cs="Times New Roman"/>
          <w:noProof/>
        </w:rPr>
        <w:t xml:space="preserve"> 7, no. 2 (2021): 869.</w:t>
      </w:r>
    </w:p>
    <w:p w14:paraId="0F8B08E0" w14:textId="77777777" w:rsidR="002A5AAB" w:rsidRPr="002A5AAB" w:rsidRDefault="002A5AAB" w:rsidP="002A5AAB">
      <w:pPr>
        <w:adjustRightInd w:val="0"/>
        <w:spacing w:line="360" w:lineRule="auto"/>
        <w:ind w:left="480" w:hanging="480"/>
        <w:jc w:val="both"/>
        <w:rPr>
          <w:noProof/>
        </w:rPr>
      </w:pPr>
      <w:r w:rsidRPr="002A5AAB">
        <w:rPr>
          <w:rFonts w:cs="Times New Roman"/>
          <w:noProof/>
        </w:rPr>
        <w:t xml:space="preserve">Yulia. </w:t>
      </w:r>
      <w:r w:rsidRPr="002A5AAB">
        <w:rPr>
          <w:rFonts w:cs="Times New Roman"/>
          <w:i/>
          <w:iCs/>
          <w:noProof/>
        </w:rPr>
        <w:t>Hukum Hak Kekayaan Intelektual</w:t>
      </w:r>
      <w:r w:rsidRPr="002A5AAB">
        <w:rPr>
          <w:rFonts w:cs="Times New Roman"/>
          <w:noProof/>
        </w:rPr>
        <w:t>. Aceh: CV. Sefa Bumi Persada, 2021.</w:t>
      </w:r>
    </w:p>
    <w:p w14:paraId="464047F3" w14:textId="630D56A1" w:rsidR="00F66B42" w:rsidRDefault="002A5AAB" w:rsidP="002A5AAB">
      <w:pPr>
        <w:spacing w:line="360" w:lineRule="auto"/>
        <w:jc w:val="both"/>
      </w:pPr>
      <w:r>
        <w:fldChar w:fldCharType="end"/>
      </w:r>
    </w:p>
    <w:sectPr w:rsidR="00F66B42">
      <w:headerReference w:type="default" r:id="rId11"/>
      <w:footerReference w:type="default" r:id="rId12"/>
      <w:pgSz w:w="10320" w:h="1458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7332A" w14:textId="77777777" w:rsidR="00964FCE" w:rsidRDefault="00964FCE">
      <w:r>
        <w:separator/>
      </w:r>
    </w:p>
  </w:endnote>
  <w:endnote w:type="continuationSeparator" w:id="0">
    <w:p w14:paraId="6E61F6DB" w14:textId="77777777" w:rsidR="00964FCE" w:rsidRDefault="00964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B62B2399-5254-4FAB-B942-536C5EAE7BE1}"/>
    <w:embedBold r:id="rId2" w:fontKey="{C4F00622-C349-4166-9D30-7A231C28FC46}"/>
    <w:embedItalic r:id="rId3" w:fontKey="{DF58E132-59CC-401E-B7DF-6D49EAA6FE5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5108CDB2-E4FA-40C3-B44A-233CB6666B5D}"/>
    <w:embedItalic r:id="rId5" w:fontKey="{FAE0F205-4A11-4EFE-AEA2-FA7C1F62AEA7}"/>
  </w:font>
  <w:font w:name="Calibri Light">
    <w:panose1 w:val="020F0302020204030204"/>
    <w:charset w:val="00"/>
    <w:family w:val="swiss"/>
    <w:pitch w:val="variable"/>
    <w:sig w:usb0="E4002EFF" w:usb1="C000247B" w:usb2="00000009" w:usb3="00000000" w:csb0="000001FF" w:csb1="00000000"/>
    <w:embedRegular r:id="rId6" w:fontKey="{7A1B2D1E-A99C-49F0-AFD1-3B32F3F73BB8}"/>
  </w:font>
  <w:font w:name="Calibri">
    <w:panose1 w:val="020F0502020204030204"/>
    <w:charset w:val="00"/>
    <w:family w:val="swiss"/>
    <w:pitch w:val="variable"/>
    <w:sig w:usb0="E4002EFF" w:usb1="C000247B" w:usb2="00000009" w:usb3="00000000" w:csb0="000001FF" w:csb1="00000000"/>
    <w:embedRegular r:id="rId7" w:fontKey="{4DA9A091-5A95-42B9-8CA2-F914A07F902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A5E8F" w14:textId="77777777" w:rsidR="00F66B42"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68DE3F15" wp14:editId="3126F0C8">
              <wp:simplePos x="0" y="0"/>
              <wp:positionH relativeFrom="column">
                <wp:posOffset>1943100</wp:posOffset>
              </wp:positionH>
              <wp:positionV relativeFrom="paragraph">
                <wp:posOffset>8699500</wp:posOffset>
              </wp:positionV>
              <wp:extent cx="3080385" cy="240030"/>
              <wp:effectExtent l="0" t="0" r="0" b="0"/>
              <wp:wrapNone/>
              <wp:docPr id="24" name="Rectangle 24"/>
              <wp:cNvGraphicFramePr/>
              <a:graphic xmlns:a="http://schemas.openxmlformats.org/drawingml/2006/main">
                <a:graphicData uri="http://schemas.microsoft.com/office/word/2010/wordprocessingShape">
                  <wps:wsp>
                    <wps:cNvSpPr/>
                    <wps:spPr>
                      <a:xfrm>
                        <a:off x="3810570" y="3664748"/>
                        <a:ext cx="3070860" cy="230505"/>
                      </a:xfrm>
                      <a:prstGeom prst="rect">
                        <a:avLst/>
                      </a:prstGeom>
                      <a:noFill/>
                      <a:ln>
                        <a:noFill/>
                      </a:ln>
                    </wps:spPr>
                    <wps:txbx>
                      <w:txbxContent>
                        <w:p w14:paraId="2D79C335" w14:textId="77777777" w:rsidR="00F66B42" w:rsidRDefault="00000000">
                          <w:pPr>
                            <w:spacing w:line="185" w:lineRule="auto"/>
                            <w:textDirection w:val="btLr"/>
                          </w:pPr>
                          <w:r>
                            <w:rPr>
                              <w:rFonts w:ascii="Times New Roman" w:eastAsia="Times New Roman" w:hAnsi="Times New Roman" w:cs="Times New Roman"/>
                              <w:i/>
                              <w:color w:val="000000"/>
                              <w:sz w:val="16"/>
                            </w:rPr>
                            <w:t xml:space="preserve">Muhammadiyah Law Review, </w:t>
                          </w:r>
                          <w:r>
                            <w:rPr>
                              <w:rFonts w:ascii="Times New Roman" w:eastAsia="Times New Roman" w:hAnsi="Times New Roman" w:cs="Times New Roman"/>
                              <w:color w:val="000000"/>
                              <w:sz w:val="16"/>
                            </w:rPr>
                            <w:t xml:space="preserve">Vol. XX </w:t>
                          </w:r>
                          <w:proofErr w:type="gramStart"/>
                          <w:r>
                            <w:rPr>
                              <w:rFonts w:ascii="Times New Roman" w:eastAsia="Times New Roman" w:hAnsi="Times New Roman" w:cs="Times New Roman"/>
                              <w:color w:val="000000"/>
                              <w:sz w:val="16"/>
                            </w:rPr>
                            <w:t>No.XX</w:t>
                          </w:r>
                          <w:proofErr w:type="gramEnd"/>
                          <w:r>
                            <w:rPr>
                              <w:rFonts w:ascii="Times New Roman" w:eastAsia="Times New Roman" w:hAnsi="Times New Roman" w:cs="Times New Roman"/>
                              <w:color w:val="000000"/>
                              <w:sz w:val="16"/>
                            </w:rPr>
                            <w:t xml:space="preserve">(20XX) </w:t>
                          </w:r>
                          <w:proofErr w:type="gramStart"/>
                          <w:r>
                            <w:rPr>
                              <w:rFonts w:ascii="Times New Roman" w:eastAsia="Times New Roman" w:hAnsi="Times New Roman" w:cs="Times New Roman"/>
                              <w:color w:val="000000"/>
                              <w:sz w:val="16"/>
                            </w:rPr>
                            <w:t>-  PAGE</w:t>
                          </w:r>
                          <w:proofErr w:type="gramEnd"/>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rPr>
                            <w:t>11</w:t>
                          </w:r>
                        </w:p>
                      </w:txbxContent>
                    </wps:txbx>
                    <wps:bodyPr spcFirstLastPara="1" wrap="square" lIns="0" tIns="0" rIns="0" bIns="0" anchor="t" anchorCtr="0">
                      <a:noAutofit/>
                    </wps:bodyPr>
                  </wps:wsp>
                </a:graphicData>
              </a:graphic>
            </wp:anchor>
          </w:drawing>
        </mc:Choice>
        <mc:Fallback>
          <w:pict>
            <v:rect w14:anchorId="68DE3F15" id="Rectangle 24" o:spid="_x0000_s1027" style="position:absolute;margin-left:153pt;margin-top:685pt;width:242.55pt;height:18.9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" filled="f" stroked="f">
              <v:textbox inset="0,0,0,0">
                <w:txbxContent>
                  <w:p w14:paraId="2D79C335" w14:textId="77777777" w:rsidR="00F66B42" w:rsidRDefault="00000000">
                    <w:pPr>
                      <w:spacing w:line="185" w:lineRule="auto"/>
                      <w:textDirection w:val="btLr"/>
                    </w:pPr>
                    <w:r>
                      <w:rPr>
                        <w:rFonts w:ascii="Times New Roman" w:eastAsia="Times New Roman" w:hAnsi="Times New Roman" w:cs="Times New Roman"/>
                        <w:i/>
                        <w:color w:val="000000"/>
                        <w:sz w:val="16"/>
                      </w:rPr>
                      <w:t xml:space="preserve">Muhammadiyah Law Review, </w:t>
                    </w:r>
                    <w:r>
                      <w:rPr>
                        <w:rFonts w:ascii="Times New Roman" w:eastAsia="Times New Roman" w:hAnsi="Times New Roman" w:cs="Times New Roman"/>
                        <w:color w:val="000000"/>
                        <w:sz w:val="16"/>
                      </w:rPr>
                      <w:t xml:space="preserve">Vol. XX </w:t>
                    </w:r>
                    <w:proofErr w:type="gramStart"/>
                    <w:r>
                      <w:rPr>
                        <w:rFonts w:ascii="Times New Roman" w:eastAsia="Times New Roman" w:hAnsi="Times New Roman" w:cs="Times New Roman"/>
                        <w:color w:val="000000"/>
                        <w:sz w:val="16"/>
                      </w:rPr>
                      <w:t>No.XX</w:t>
                    </w:r>
                    <w:proofErr w:type="gramEnd"/>
                    <w:r>
                      <w:rPr>
                        <w:rFonts w:ascii="Times New Roman" w:eastAsia="Times New Roman" w:hAnsi="Times New Roman" w:cs="Times New Roman"/>
                        <w:color w:val="000000"/>
                        <w:sz w:val="16"/>
                      </w:rPr>
                      <w:t xml:space="preserve">(20XX) </w:t>
                    </w:r>
                    <w:proofErr w:type="gramStart"/>
                    <w:r>
                      <w:rPr>
                        <w:rFonts w:ascii="Times New Roman" w:eastAsia="Times New Roman" w:hAnsi="Times New Roman" w:cs="Times New Roman"/>
                        <w:color w:val="000000"/>
                        <w:sz w:val="16"/>
                      </w:rPr>
                      <w:t>-  PAGE</w:t>
                    </w:r>
                    <w:proofErr w:type="gramEnd"/>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rPr>
                      <w:t>11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7DE40" w14:textId="77777777" w:rsidR="00964FCE" w:rsidRDefault="00964FCE">
      <w:r>
        <w:separator/>
      </w:r>
    </w:p>
  </w:footnote>
  <w:footnote w:type="continuationSeparator" w:id="0">
    <w:p w14:paraId="3333D5EB" w14:textId="77777777" w:rsidR="00964FCE" w:rsidRDefault="00964FCE">
      <w:r>
        <w:continuationSeparator/>
      </w:r>
    </w:p>
  </w:footnote>
  <w:footnote w:id="1">
    <w:p w14:paraId="2FC12A90" w14:textId="603E0617" w:rsidR="00592A6D" w:rsidRDefault="00592A6D" w:rsidP="005541EE">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{"citationItems":[{"id":"ITEM-1","itemData":{"author":[{"dropping-particle":"","family":"Yulia","given":"","non-dropping-particle":"","parse-names":false,"suffix":""}],"id":"ITEM-1","issued":{"date-parts":[["2021"]]},"publisher":"CV. Sefa Bumi Persada","publisher-place":"Aceh","title":"Hukum Hak Kekayaan Intelektual","type":"book"},"uris":["http://www.mendeley.com/documents/?uuid=c4db5b33-0f44-46f2-92fd-001b3e240004"]}],"mendeley":{"formattedCitation":"Yulia, &lt;i&gt;Hukum Hak Kekayaan Intelektual&lt;/i&gt; (Aceh: CV. Sefa Bumi Persada, 2021).","plainTextFormattedCitation":"Yulia, Hukum Hak Kekayaan Intelektual (Aceh: CV. Sefa Bumi Persada, 2021).","previouslyFormattedCitation":"Yulia, &lt;i&gt;Hukum Hak Kekayaan Intelektual&lt;/i&gt; (Aceh: CV. Sefa Bumi Persada, 2021)."},"properties":{"noteIndex":1},"schema":"https://github.com/citation-style-language/schema/raw/master/csl-citation.json"}</w:instrText>
      </w:r>
      <w:r>
        <w:fldChar w:fldCharType="separate"/>
      </w:r>
      <w:r w:rsidRPr="00592A6D">
        <w:rPr>
          <w:noProof/>
        </w:rPr>
        <w:t xml:space="preserve">Yulia, </w:t>
      </w:r>
      <w:r w:rsidRPr="00592A6D">
        <w:rPr>
          <w:i/>
          <w:noProof/>
        </w:rPr>
        <w:t>Hukum Hak Kekayaan Intelektual</w:t>
      </w:r>
      <w:r w:rsidRPr="00592A6D">
        <w:rPr>
          <w:noProof/>
        </w:rPr>
        <w:t xml:space="preserve"> (Aceh: CV. Sefa Bumi Persada, 2021).</w:t>
      </w:r>
      <w:r>
        <w:fldChar w:fldCharType="end"/>
      </w:r>
      <w:r>
        <w:t xml:space="preserve"> hlm. 16.</w:t>
      </w:r>
    </w:p>
  </w:footnote>
  <w:footnote w:id="2">
    <w:p w14:paraId="71545780" w14:textId="199E3FB0" w:rsidR="00592A6D" w:rsidRDefault="00592A6D" w:rsidP="005541EE">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{"citationItems":[{"id":"ITEM-1","itemData":{"author":[{"dropping-particle":"","family":"Lutfi Ulinnuha","given":"","non-dropping-particle":"","parse-names":false,"suffix":""}],"container-title":"Journal of Private and Commercial Law","id":"ITEM-1","issue":"1","issued":{"date-parts":[["2017"]]},"title":"Penggunaan Hak Cipta sebagai Objek Jaminan Fidusia","type":"article-journal","volume":"1"},"uris":["http://www.mendeley.com/documents/?uuid=d9e1ac9a-5730-407a-a370-29d52eed8933"]}],"mendeley":{"formattedCitation":"Lutfi Ulinnuha, “Penggunaan Hak Cipta Sebagai Objek Jaminan Fidusia,” &lt;i&gt;Journal of Private and Commercial Law&lt;/i&gt; 1, no. 1 (2017).","plainTextFormattedCitation":"Lutfi Ulinnuha, “Penggunaan Hak Cipta Sebagai Objek Jaminan Fidusia,” Journal of Private and Commercial Law 1, no. 1 (2017).","previouslyFormattedCitation":"Lutfi Ulinnuha, “Penggunaan Hak Cipta Sebagai Objek Jaminan Fidusia,” &lt;i&gt;Journal of Private and Commercial Law&lt;/i&gt; 1, no. 1 (2017)."},"properties":{"noteIndex":2},"schema":"https://github.com/citation-style-language/schema/raw/master/csl-citation.json"}</w:instrText>
      </w:r>
      <w:r>
        <w:fldChar w:fldCharType="separate"/>
      </w:r>
      <w:r w:rsidRPr="00592A6D">
        <w:rPr>
          <w:noProof/>
        </w:rPr>
        <w:t xml:space="preserve">Lutfi Ulinnuha, “Penggunaan Hak Cipta Sebagai Objek Jaminan Fidusia,” </w:t>
      </w:r>
      <w:r w:rsidRPr="00592A6D">
        <w:rPr>
          <w:i/>
          <w:noProof/>
        </w:rPr>
        <w:t>Journal of Private and Commercial Law</w:t>
      </w:r>
      <w:r w:rsidRPr="00592A6D">
        <w:rPr>
          <w:noProof/>
        </w:rPr>
        <w:t xml:space="preserve"> 1, no. 1 (2017).</w:t>
      </w:r>
      <w:r>
        <w:fldChar w:fldCharType="end"/>
      </w:r>
    </w:p>
  </w:footnote>
  <w:footnote w:id="3">
    <w:p w14:paraId="18505D57" w14:textId="0EB1D7AA" w:rsidR="00592A6D" w:rsidRDefault="00592A6D" w:rsidP="005541EE">
      <w:pPr>
        <w:pStyle w:val="FootnoteText"/>
        <w:ind w:firstLine="720"/>
        <w:jc w:val="both"/>
      </w:pPr>
      <w:r>
        <w:rPr>
          <w:rStyle w:val="FootnoteReference"/>
        </w:rPr>
        <w:footnoteRef/>
      </w:r>
      <w:r>
        <w:t xml:space="preserve"> </w:t>
      </w:r>
      <w:r>
        <w:fldChar w:fldCharType="begin" w:fldLock="1"/>
      </w:r>
      <w:r w:rsidR="0070137E">
        <w:instrText>ADDIN CSL_CITATION {"citationItems":[{"id":"ITEM-1","itemData":{"author":[{"dropping-particle":"","family":"Hariyani","given":"Iswi","non-dropping-particle":"","parse-names":false,"suffix":""}],"id":"ITEM-1","issued":{"date-parts":[["2010"]]},"publisher":"Pustaka Yustisia","publisher-place":"Yogyakarta","title":"Prosedur mengurus HAKI yang benar, Cet.1","type":"book"},"uris":["http://www.mendeley.com/documents/?uuid=5481dfe9-0465-4697-9fcd-2317d7c58b44"]}],"mendeley":{"formattedCitation":"Iswi Hariyani, &lt;i&gt;Prosedur Mengurus HAKI Yang Benar, Cet.1&lt;/i&gt; (Yogyakarta: Pustaka Yustisia, 2010).","plainTextFormattedCitation":"Iswi Hariyani, Prosedur Mengurus HAKI Yang Benar, Cet.1 (Yogyakarta: Pustaka Yustisia, 2010).","previouslyFormattedCitation":"Iswi Hariyani, &lt;i&gt;Prosedur Mengurus HAKI Yang Benar, Cet.1&lt;/i&gt; (Yogyakarta: Pustaka Yustisia, 2010)."},"properties":{"noteIndex":3},"schema":"https://github.com/citation-style-language/schema/raw/master/csl-citation.json"}</w:instrText>
      </w:r>
      <w:r>
        <w:fldChar w:fldCharType="separate"/>
      </w:r>
      <w:r w:rsidRPr="00592A6D">
        <w:rPr>
          <w:noProof/>
        </w:rPr>
        <w:t xml:space="preserve">Iswi Hariyani, </w:t>
      </w:r>
      <w:r w:rsidRPr="00592A6D">
        <w:rPr>
          <w:i/>
          <w:noProof/>
        </w:rPr>
        <w:t>Prosedur Mengurus HAKI Yang Benar, Cet.1</w:t>
      </w:r>
      <w:r w:rsidRPr="00592A6D">
        <w:rPr>
          <w:noProof/>
        </w:rPr>
        <w:t xml:space="preserve"> (Yogyakarta: Pustaka Yustisia, 2010).</w:t>
      </w:r>
      <w:r>
        <w:fldChar w:fldCharType="end"/>
      </w:r>
      <w:r>
        <w:t xml:space="preserve"> hlm. 16.</w:t>
      </w:r>
    </w:p>
  </w:footnote>
  <w:footnote w:id="4">
    <w:p w14:paraId="53F03A44" w14:textId="0E884A9C" w:rsidR="0070137E" w:rsidRDefault="0070137E" w:rsidP="005541EE">
      <w:pPr>
        <w:pStyle w:val="FootnoteText"/>
        <w:ind w:firstLine="720"/>
        <w:jc w:val="both"/>
      </w:pPr>
      <w:r>
        <w:rPr>
          <w:rStyle w:val="FootnoteReference"/>
        </w:rPr>
        <w:footnoteRef/>
      </w:r>
      <w:r>
        <w:t xml:space="preserve"> </w:t>
      </w:r>
      <w:r>
        <w:fldChar w:fldCharType="begin" w:fldLock="1"/>
      </w:r>
      <w:r w:rsidR="00881C30">
        <w:instrText>ADDIN CSL_CITATION {"citationItems":[{"id":"ITEM-1","itemData":{"author":[{"dropping-particle":"","family":"Vera Ayu Riandini","given":"Lisa Gusrianti","non-dropping-particle":"","parse-names":false,"suffix":""}],"container-title":"Jurnal Komunikasi Hukum","id":"ITEM-1","issue":"2","issued":{"date-parts":[["2021"]]},"page":"869","title":"Analisis Keterkaitan Perjanjian Dan Perlindungan Hak Cipta Karya Fotografi di Indonesia","type":"article-journal","volume":"7"},"uris":["http://www.mendeley.com/documents/?uuid=c9727816-6aab-4760-8c95-f653d71f899e"]}],"mendeley":{"formattedCitation":"Lisa Gusrianti Vera Ayu Riandini, “Analisis Keterkaitan Perjanjian Dan Perlindungan Hak Cipta Karya Fotografi Di Indonesia,” &lt;i&gt;Jurnal Komunikasi Hukum&lt;/i&gt; 7, no. 2 (2021): 869.","plainTextFormattedCitation":"Lisa Gusrianti Vera Ayu Riandini, “Analisis Keterkaitan Perjanjian Dan Perlindungan Hak Cipta Karya Fotografi Di Indonesia,” Jurnal Komunikasi Hukum 7, no. 2 (2021): 869.","previouslyFormattedCitation":"Lisa Gusrianti Vera Ayu Riandini, “Analisis Keterkaitan Perjanjian Dan Perlindungan Hak Cipta Karya Fotografi Di Indonesia,” &lt;i&gt;Jurnal Komunikasi Hukum&lt;/i&gt; 7, no. 2 (2021): 869."},"properties":{"noteIndex":4},"schema":"https://github.com/citation-style-language/schema/raw/master/csl-citation.json"}</w:instrText>
      </w:r>
      <w:r>
        <w:fldChar w:fldCharType="separate"/>
      </w:r>
      <w:r w:rsidRPr="0070137E">
        <w:rPr>
          <w:noProof/>
        </w:rPr>
        <w:t xml:space="preserve">Lisa Gusrianti Vera Ayu Riandini, “Analisis Keterkaitan Perjanjian Dan Perlindungan Hak Cipta Karya Fotografi Di Indonesia,” </w:t>
      </w:r>
      <w:r w:rsidRPr="0070137E">
        <w:rPr>
          <w:i/>
          <w:noProof/>
        </w:rPr>
        <w:t>Jurnal Komunikasi Hukum</w:t>
      </w:r>
      <w:r w:rsidRPr="0070137E">
        <w:rPr>
          <w:noProof/>
        </w:rPr>
        <w:t xml:space="preserve"> 7, no. 2 (2021): 869.</w:t>
      </w:r>
      <w:r>
        <w:fldChar w:fldCharType="end"/>
      </w:r>
    </w:p>
  </w:footnote>
  <w:footnote w:id="5">
    <w:p w14:paraId="53953886" w14:textId="013C2DE7" w:rsidR="008B405F" w:rsidRDefault="008B405F" w:rsidP="008B405F">
      <w:pPr>
        <w:pStyle w:val="FootnoteText"/>
        <w:ind w:firstLine="720"/>
      </w:pPr>
      <w:r>
        <w:rPr>
          <w:rStyle w:val="FootnoteReference"/>
        </w:rPr>
        <w:footnoteRef/>
      </w:r>
      <w:r>
        <w:t xml:space="preserve"> </w:t>
      </w:r>
      <w:r>
        <w:fldChar w:fldCharType="begin" w:fldLock="1"/>
      </w:r>
      <w:r>
        <w:instrText>ADDIN CSL_CITATION {"citationItems":[{"id":"ITEM-1","itemData":{"author":[{"dropping-particle":"","family":"Komang Ari Febriani, I Made Sarjana","given":"","non-dropping-particle":"","parse-names":false,"suffix":""}],"container-title":"Ethics and Law Journal Business and Notary","id":"ITEM-1","issue":"4","issued":{"date-parts":[["2024"]]},"title":"Analisis Yuridis Kekayaan Intelektual yang DIbebankan Sebagai Jaminan Fidusia dari Perspektif Ekonomi Kreatif","type":"article-journal","volume":"2"},"uris":["http://www.mendeley.com/documents/?uuid=b221f576-be55-4401-b255-775f7d664e40"]}],"mendeley":{"formattedCitation":"Komang Ari Febriani, I Made Sarjana, “Analisis Yuridis Kekayaan Intelektual Yang DIbebankan Sebagai Jaminan Fidusia Dari Perspektif Ekonomi Kreatif,” &lt;i&gt;Ethics and Law Journal Business and Notary&lt;/i&gt; 2, no. 4 (2024).","plainTextFormattedCitation":"Komang Ari Febriani, I Made Sarjana, “Analisis Yuridis Kekayaan Intelektual Yang DIbebankan Sebagai Jaminan Fidusia Dari Perspektif Ekonomi Kreatif,” Ethics and Law Journal Business and Notary 2, no. 4 (2024).","previouslyFormattedCitation":"Komang Ari Febriani, I Made Sarjana, “Analisis Yuridis Kekayaan Intelektual Yang DIbebankan Sebagai Jaminan Fidusia Dari Perspektif Ekonomi Kreatif,” &lt;i&gt;Ethics and Law Journal Business and Notary&lt;/i&gt; 2, no. 4 (2024)."},"properties":{"noteIndex":5},"schema":"https://github.com/citation-style-language/schema/raw/master/csl-citation.json"}</w:instrText>
      </w:r>
      <w:r>
        <w:fldChar w:fldCharType="separate"/>
      </w:r>
      <w:r w:rsidRPr="008B405F">
        <w:rPr>
          <w:noProof/>
        </w:rPr>
        <w:t xml:space="preserve">Komang Ari Febriani, I Made Sarjana, “Analisis Yuridis Kekayaan Intelektual Yang DIbebankan Sebagai Jaminan Fidusia Dari Perspektif Ekonomi Kreatif,” </w:t>
      </w:r>
      <w:r w:rsidRPr="008B405F">
        <w:rPr>
          <w:i/>
          <w:noProof/>
        </w:rPr>
        <w:t>Ethics and Law Journal Business and Notary</w:t>
      </w:r>
      <w:r w:rsidRPr="008B405F">
        <w:rPr>
          <w:noProof/>
        </w:rPr>
        <w:t xml:space="preserve"> 2, no. 4 (2024).</w:t>
      </w:r>
      <w:r>
        <w:fldChar w:fldCharType="end"/>
      </w:r>
    </w:p>
  </w:footnote>
  <w:footnote w:id="6">
    <w:p w14:paraId="2BD5A4D7" w14:textId="56F2FAF1" w:rsidR="00881C30" w:rsidRDefault="00881C30" w:rsidP="005541EE">
      <w:pPr>
        <w:pStyle w:val="FootnoteText"/>
        <w:ind w:firstLine="720"/>
        <w:jc w:val="both"/>
      </w:pPr>
      <w:r>
        <w:rPr>
          <w:rStyle w:val="FootnoteReference"/>
        </w:rPr>
        <w:footnoteRef/>
      </w:r>
      <w:r>
        <w:t xml:space="preserve"> </w:t>
      </w:r>
      <w:r>
        <w:fldChar w:fldCharType="begin" w:fldLock="1"/>
      </w:r>
      <w:r w:rsidR="008B405F">
        <w:instrText>ADDIN CSL_CITATION {"citationItems":[{"id":"ITEM-1","itemData":{"author":[{"dropping-particle":"","family":"Rian Adhivira Prabowo","given":"","non-dropping-particle":"","parse-names":false,"suffix":""}],"container-title":"Jurnal RechtsVinding","id":"ITEM-1","issue":"2","issued":{"date-parts":[["2021"]]},"page":"245–260.","title":"Ekonomi Kreatif dan Perlindungan Hak Kekayaan Intelektual di Era Digital","type":"article-journal","volume":"10"},"uris":["http://www.mendeley.com/documents/?uuid=f12b1bd4-d8ee-4679-9558-6e44942f4b2d"]}],"mendeley":{"formattedCitation":"Rian Adhivira Prabowo, “Ekonomi Kreatif Dan Perlindungan Hak Kekayaan Intelektual Di Era Digital,” &lt;i&gt;Jurnal RechtsVinding&lt;/i&gt; 10, no. 2 (2021): 245–260.","plainTextFormattedCitation":"Rian Adhivira Prabowo, “Ekonomi Kreatif Dan Perlindungan Hak Kekayaan Intelektual Di Era Digital,” Jurnal RechtsVinding 10, no. 2 (2021): 245–260.","previouslyFormattedCitation":"Rian Adhivira Prabowo, “Ekonomi Kreatif Dan Perlindungan Hak Kekayaan Intelektual Di Era Digital,” &lt;i&gt;Jurnal RechtsVinding&lt;/i&gt; 10, no. 2 (2021): 245–260."},"properties":{"noteIndex":6},"schema":"https://github.com/citation-style-language/schema/raw/master/csl-citation.json"}</w:instrText>
      </w:r>
      <w:r>
        <w:fldChar w:fldCharType="separate"/>
      </w:r>
      <w:r w:rsidRPr="00881C30">
        <w:rPr>
          <w:noProof/>
        </w:rPr>
        <w:t xml:space="preserve">Rian Adhivira Prabowo, “Ekonomi Kreatif Dan Perlindungan Hak Kekayaan Intelektual Di Era Digital,” </w:t>
      </w:r>
      <w:r w:rsidRPr="00881C30">
        <w:rPr>
          <w:i/>
          <w:noProof/>
        </w:rPr>
        <w:t>Jurnal RechtsVinding</w:t>
      </w:r>
      <w:r w:rsidRPr="00881C30">
        <w:rPr>
          <w:noProof/>
        </w:rPr>
        <w:t xml:space="preserve"> 10, no. 2 (2021): 245–260.</w:t>
      </w:r>
      <w:r>
        <w:fldChar w:fldCharType="end"/>
      </w:r>
    </w:p>
  </w:footnote>
  <w:footnote w:id="7">
    <w:p w14:paraId="1D83CCEF" w14:textId="427A2058" w:rsidR="00881C30" w:rsidRDefault="00881C30" w:rsidP="005541EE">
      <w:pPr>
        <w:pStyle w:val="FootnoteText"/>
        <w:ind w:firstLine="720"/>
        <w:jc w:val="both"/>
      </w:pPr>
      <w:r>
        <w:rPr>
          <w:rStyle w:val="FootnoteReference"/>
        </w:rPr>
        <w:footnoteRef/>
      </w:r>
      <w:r>
        <w:t xml:space="preserve"> </w:t>
      </w:r>
      <w:r>
        <w:fldChar w:fldCharType="begin" w:fldLock="1"/>
      </w:r>
      <w:r w:rsidR="008B405F">
        <w:instrText>ADDIN CSL_CITATION {"citationItems":[{"id":"ITEM-1","itemData":{"author":[{"dropping-particle":"","family":"Riswandi","given":"Budi Agus","non-dropping-particle":"","parse-names":false,"suffix":""}],"id":"ITEM-1","issued":{"date-parts":[["2017"]]},"publisher":"FH UII Press","publisher-place":"Yogyakarta","title":"Hak Cipta di Internet: Aspek Hukum dan Permasalahannya","type":"book"},"uris":["http://www.mendeley.com/documents/?uuid=c4d6943b-a047-462e-95ab-48cd2a6ac37c"]}],"mendeley":{"formattedCitation":"Budi Agus Riswandi, &lt;i&gt;Hak Cipta Di Internet: Aspek Hukum Dan Permasalahannya&lt;/i&gt; (Yogyakarta: FH UII Press, 2017).","plainTextFormattedCitation":"Budi Agus Riswandi, Hak Cipta Di Internet: Aspek Hukum Dan Permasalahannya (Yogyakarta: FH UII Press, 2017).","previouslyFormattedCitation":"Budi Agus Riswandi, &lt;i&gt;Hak Cipta Di Internet: Aspek Hukum Dan Permasalahannya&lt;/i&gt; (Yogyakarta: FH UII Press, 2017)."},"properties":{"noteIndex":7},"schema":"https://github.com/citation-style-language/schema/raw/master/csl-citation.json"}</w:instrText>
      </w:r>
      <w:r>
        <w:fldChar w:fldCharType="separate"/>
      </w:r>
      <w:r w:rsidRPr="00881C30">
        <w:rPr>
          <w:noProof/>
        </w:rPr>
        <w:t xml:space="preserve">Budi Agus Riswandi, </w:t>
      </w:r>
      <w:r w:rsidRPr="00881C30">
        <w:rPr>
          <w:i/>
          <w:noProof/>
        </w:rPr>
        <w:t>Hak Cipta Di Internet: Aspek Hukum Dan Permasalahannya</w:t>
      </w:r>
      <w:r w:rsidRPr="00881C30">
        <w:rPr>
          <w:noProof/>
        </w:rPr>
        <w:t xml:space="preserve"> (Yogyakarta: FH UII Press, 2017).</w:t>
      </w:r>
      <w:r>
        <w:fldChar w:fldCharType="end"/>
      </w:r>
      <w:r>
        <w:t xml:space="preserve"> hlm. 45.</w:t>
      </w:r>
    </w:p>
  </w:footnote>
  <w:footnote w:id="8">
    <w:p w14:paraId="4B41496F" w14:textId="643EF500" w:rsidR="008B405F" w:rsidRDefault="008B405F" w:rsidP="008B405F">
      <w:pPr>
        <w:pStyle w:val="FootnoteText"/>
        <w:ind w:firstLine="720"/>
      </w:pPr>
      <w:r>
        <w:rPr>
          <w:rStyle w:val="FootnoteReference"/>
        </w:rPr>
        <w:footnoteRef/>
      </w:r>
      <w:r>
        <w:t xml:space="preserve"> </w:t>
      </w:r>
      <w:r>
        <w:fldChar w:fldCharType="begin" w:fldLock="1"/>
      </w:r>
      <w:r w:rsidR="002A5AAB">
        <w:instrText>ADDIN CSL_CITATION {"citationItems":[{"id":"ITEM-1","itemData":{"author":[{"dropping-particle":"","family":"Chritie","given":"Kendelif Kheista Evellyn Abigael Rhemrev Michelle","non-dropping-particle":"","parse-names":false,"suffix":""}],"container-title":"Jurnal Kewarganegaraan","id":"ITEM-1","issue":"1","issued":{"date-parts":[["2024"]]},"title":"Implementasi Hukum Benda (Zaak) dalam Perspektif Hukum Perdata Indonesia","type":"article-journal","volume":"8"},"uris":["http://www.mendeley.com/documents/?uuid=588723dd-3dd0-4251-a905-7dfab21eb9d6"]}],"mendeley":{"formattedCitation":"Kendelif Kheista Evellyn Abigael Rhemrev Michelle Chritie, “Implementasi Hukum Benda (Zaak) Dalam Perspektif Hukum Perdata Indonesia,” &lt;i&gt;Jurnal Kewarganegaraan&lt;/i&gt; 8, no. 1 (2024).","plainTextFormattedCitation":"Kendelif Kheista Evellyn Abigael Rhemrev Michelle Chritie, “Implementasi Hukum Benda (Zaak) Dalam Perspektif Hukum Perdata Indonesia,” Jurnal Kewarganegaraan 8, no. 1 (2024).","previouslyFormattedCitation":"Kendelif Kheista Evellyn Abigael Rhemrev Michelle Chritie, “Implementasi Hukum Benda (Zaak) Dalam Perspektif Hukum Perdata Indonesia,” &lt;i&gt;Jurnal Kewarganegaraan&lt;/i&gt; 8, no. 1 (2024)."},"properties":{"noteIndex":8},"schema":"https://github.com/citation-style-language/schema/raw/master/csl-citation.json"}</w:instrText>
      </w:r>
      <w:r>
        <w:fldChar w:fldCharType="separate"/>
      </w:r>
      <w:r w:rsidRPr="008B405F">
        <w:rPr>
          <w:noProof/>
        </w:rPr>
        <w:t xml:space="preserve">Kendelif Kheista Evellyn Abigael Rhemrev Michelle Chritie, “Implementasi Hukum Benda (Zaak) Dalam Perspektif Hukum Perdata Indonesia,” </w:t>
      </w:r>
      <w:r w:rsidRPr="008B405F">
        <w:rPr>
          <w:i/>
          <w:noProof/>
        </w:rPr>
        <w:t>Jurnal Kewarganegaraan</w:t>
      </w:r>
      <w:r w:rsidRPr="008B405F">
        <w:rPr>
          <w:noProof/>
        </w:rPr>
        <w:t xml:space="preserve"> 8, no. 1 (2024).</w:t>
      </w:r>
      <w:r>
        <w:fldChar w:fldCharType="end"/>
      </w:r>
    </w:p>
  </w:footnote>
  <w:footnote w:id="9">
    <w:p w14:paraId="11350540" w14:textId="11404698" w:rsidR="00881C30" w:rsidRDefault="00881C30" w:rsidP="005541EE">
      <w:pPr>
        <w:pStyle w:val="FootnoteText"/>
        <w:ind w:firstLine="720"/>
        <w:jc w:val="both"/>
      </w:pPr>
      <w:r>
        <w:rPr>
          <w:rStyle w:val="FootnoteReference"/>
        </w:rPr>
        <w:footnoteRef/>
      </w:r>
      <w:r>
        <w:t xml:space="preserve"> </w:t>
      </w:r>
      <w:r>
        <w:fldChar w:fldCharType="begin" w:fldLock="1"/>
      </w:r>
      <w:r w:rsidR="008B405F">
        <w:instrText>ADDIN CSL_CITATION {"citationItems":[{"id":"ITEM-1","itemData":{"author":[{"dropping-particle":"","family":"Agus Sardjono","given":"","non-dropping-particle":"","parse-names":false,"suffix":""}],"container-title":"IUSTUM, Jurnal Hukum IUS QUIA","id":"ITEM-1","issue":"3","issued":{"date-parts":[["2019"]]},"page":"489–507.","title":"Hak Cipta sebagai Objek Hak Milik dalam Perspektif Hukum Perdata","type":"article-journal","volume":"26"},"uris":["http://www.mendeley.com/documents/?uuid=515a0de5-7134-4af6-985a-5ff87013eb06"]}],"mendeley":{"formattedCitation":"Agus Sardjono, “Hak Cipta Sebagai Objek Hak Milik Dalam Perspektif Hukum Perdata,” &lt;i&gt;IUSTUM, Jurnal Hukum IUS QUIA&lt;/i&gt; 26, no. 3 (2019): 489–507.","plainTextFormattedCitation":"Agus Sardjono, “Hak Cipta Sebagai Objek Hak Milik Dalam Perspektif Hukum Perdata,” IUSTUM, Jurnal Hukum IUS QUIA 26, no. 3 (2019): 489–507.","previouslyFormattedCitation":"Agus Sardjono, “Hak Cipta Sebagai Objek Hak Milik Dalam Perspektif Hukum Perdata,” &lt;i&gt;IUSTUM, Jurnal Hukum IUS QUIA&lt;/i&gt; 26, no. 3 (2019): 489–507."},"properties":{"noteIndex":9},"schema":"https://github.com/citation-style-language/schema/raw/master/csl-citation.json"}</w:instrText>
      </w:r>
      <w:r>
        <w:fldChar w:fldCharType="separate"/>
      </w:r>
      <w:r w:rsidRPr="00881C30">
        <w:rPr>
          <w:noProof/>
        </w:rPr>
        <w:t xml:space="preserve">Agus Sardjono, “Hak Cipta Sebagai Objek Hak Milik Dalam Perspektif Hukum Perdata,” </w:t>
      </w:r>
      <w:r w:rsidRPr="00881C30">
        <w:rPr>
          <w:i/>
          <w:noProof/>
        </w:rPr>
        <w:t>IUSTUM, Jurnal Hukum IUS QUIA</w:t>
      </w:r>
      <w:r w:rsidRPr="00881C30">
        <w:rPr>
          <w:noProof/>
        </w:rPr>
        <w:t xml:space="preserve"> 26, no. 3 (2019): 489–507.</w:t>
      </w:r>
      <w:r>
        <w:fldChar w:fldCharType="end"/>
      </w:r>
    </w:p>
  </w:footnote>
  <w:footnote w:id="10">
    <w:p w14:paraId="08A7CE81" w14:textId="02AA739D" w:rsidR="00881C30" w:rsidRDefault="00881C30" w:rsidP="005541EE">
      <w:pPr>
        <w:pStyle w:val="FootnoteText"/>
        <w:ind w:firstLine="720"/>
        <w:jc w:val="both"/>
      </w:pPr>
      <w:r>
        <w:rPr>
          <w:rStyle w:val="FootnoteReference"/>
        </w:rPr>
        <w:footnoteRef/>
      </w:r>
      <w:r>
        <w:t xml:space="preserve"> </w:t>
      </w:r>
      <w:r>
        <w:fldChar w:fldCharType="begin" w:fldLock="1"/>
      </w:r>
      <w:r w:rsidR="008B405F">
        <w:instrText>ADDIN CSL_CITATION {"citationItems":[{"id":"ITEM-1","itemData":{"author":[{"dropping-particle":"","family":"Subekti","given":"","non-dropping-particle":"","parse-names":false,"suffix":""}],"id":"ITEM-1","issued":{"date-parts":[["2003"]]},"publisher":"Intermasa","publisher-place":"Jakarta","title":"Pokok-Pokok Hukum Perdata","type":"book"},"uris":["http://www.mendeley.com/documents/?uuid=cea68101-a03f-41d0-9fa3-65063971ae8f"]}],"mendeley":{"formattedCitation":"Subekti, &lt;i&gt;Pokok-Pokok Hukum Perdata&lt;/i&gt; (Jakarta: Intermasa, 2003).","plainTextFormattedCitation":"Subekti, Pokok-Pokok Hukum Perdata (Jakarta: Intermasa, 2003).","previouslyFormattedCitation":"Subekti, &lt;i&gt;Pokok-Pokok Hukum Perdata&lt;/i&gt; (Jakarta: Intermasa, 2003)."},"properties":{"noteIndex":10},"schema":"https://github.com/citation-style-language/schema/raw/master/csl-citation.json"}</w:instrText>
      </w:r>
      <w:r>
        <w:fldChar w:fldCharType="separate"/>
      </w:r>
      <w:r w:rsidRPr="00881C30">
        <w:rPr>
          <w:noProof/>
        </w:rPr>
        <w:t xml:space="preserve">Subekti, </w:t>
      </w:r>
      <w:r w:rsidRPr="00881C30">
        <w:rPr>
          <w:i/>
          <w:noProof/>
        </w:rPr>
        <w:t>Pokok-Pokok Hukum Perdata</w:t>
      </w:r>
      <w:r w:rsidRPr="00881C30">
        <w:rPr>
          <w:noProof/>
        </w:rPr>
        <w:t xml:space="preserve"> (Jakarta: Intermasa, 2003).</w:t>
      </w:r>
      <w:r>
        <w:fldChar w:fldCharType="end"/>
      </w:r>
      <w:r>
        <w:t xml:space="preserve"> hlm. 62. </w:t>
      </w:r>
    </w:p>
  </w:footnote>
  <w:footnote w:id="11">
    <w:p w14:paraId="137BCC8B" w14:textId="4375077C" w:rsidR="00881C30" w:rsidRDefault="00881C30" w:rsidP="005541EE">
      <w:pPr>
        <w:pStyle w:val="FootnoteText"/>
        <w:ind w:firstLine="720"/>
        <w:jc w:val="both"/>
      </w:pPr>
      <w:r>
        <w:rPr>
          <w:rStyle w:val="FootnoteReference"/>
        </w:rPr>
        <w:footnoteRef/>
      </w:r>
      <w:r>
        <w:t xml:space="preserve"> </w:t>
      </w:r>
      <w:r>
        <w:fldChar w:fldCharType="begin" w:fldLock="1"/>
      </w:r>
      <w:r w:rsidR="008B405F">
        <w:instrText>ADDIN CSL_CITATION {"citationItems":[{"id":"ITEM-1","itemData":{"author":[{"dropping-particle":"","family":"Jened","given":"Rahmi","non-dropping-particle":"","parse-names":false,"suffix":""}],"id":"ITEM-1","issued":{"date-parts":[["2014"]]},"publisher":"Citra Aditya Bakti","publisher-place":"Bandung","title":"Hukum Hak Cipta (Copyright’s Law)","type":"book"},"uris":["http://www.mendeley.com/documents/?uuid=b18daafc-39ae-4a4e-a9d9-9daa7fb9419f"]}],"mendeley":{"formattedCitation":"Rahmi Jened, &lt;i&gt;Hukum Hak Cipta (Copyright’s Law)&lt;/i&gt; (Bandung: Citra Aditya Bakti, 2014).","plainTextFormattedCitation":"Rahmi Jened, Hukum Hak Cipta (Copyright’s Law) (Bandung: Citra Aditya Bakti, 2014).","previouslyFormattedCitation":"Rahmi Jened, &lt;i&gt;Hukum Hak Cipta (Copyright’s Law)&lt;/i&gt; (Bandung: Citra Aditya Bakti, 2014)."},"properties":{"noteIndex":11},"schema":"https://github.com/citation-style-language/schema/raw/master/csl-citation.json"}</w:instrText>
      </w:r>
      <w:r>
        <w:fldChar w:fldCharType="separate"/>
      </w:r>
      <w:r w:rsidRPr="00881C30">
        <w:rPr>
          <w:noProof/>
        </w:rPr>
        <w:t xml:space="preserve">Rahmi Jened, </w:t>
      </w:r>
      <w:r w:rsidRPr="00881C30">
        <w:rPr>
          <w:i/>
          <w:noProof/>
        </w:rPr>
        <w:t>Hukum Hak Cipta (Copyright’s Law)</w:t>
      </w:r>
      <w:r w:rsidRPr="00881C30">
        <w:rPr>
          <w:noProof/>
        </w:rPr>
        <w:t xml:space="preserve"> (Bandung: Citra Aditya Bakti, 2014).</w:t>
      </w:r>
      <w:r>
        <w:fldChar w:fldCharType="end"/>
      </w:r>
      <w:r>
        <w:t xml:space="preserve"> Hlm. 113.</w:t>
      </w:r>
    </w:p>
  </w:footnote>
  <w:footnote w:id="12">
    <w:p w14:paraId="6A80C541" w14:textId="2DA56064" w:rsidR="00B571B1" w:rsidRDefault="00B571B1" w:rsidP="005541EE">
      <w:pPr>
        <w:pStyle w:val="FootnoteText"/>
        <w:ind w:firstLine="720"/>
        <w:jc w:val="both"/>
      </w:pPr>
      <w:r>
        <w:rPr>
          <w:rStyle w:val="FootnoteReference"/>
        </w:rPr>
        <w:footnoteRef/>
      </w:r>
      <w:r>
        <w:t xml:space="preserve"> </w:t>
      </w:r>
      <w:r>
        <w:fldChar w:fldCharType="begin" w:fldLock="1"/>
      </w:r>
      <w:r w:rsidR="008B405F">
        <w:instrText>ADDIN CSL_CITATION {"citationItems":[{"id":"ITEM-1","itemData":{"author":[{"dropping-particle":"","family":"Indonesia","given":"","non-dropping-particle":"","parse-names":false,"suffix":""}],"id":"ITEM-1","issued":{"date-parts":[["2014"]]},"publisher-place":"2","title":"Undang-Undang Nomor 28 Tahun 2014 tentang Hak Cipta, Pasal 16 ayat (2).","type":"legislation"},"uris":["http://www.mendeley.com/documents/?uuid=12951679-c67f-4099-86ea-46573ce26544"]}],"mendeley":{"formattedCitation":"Indonesia, “Undang-Undang Nomor 28 Tahun 2014 Tentang Hak Cipta, Pasal 16 Ayat (2).” (2014).","plainTextFormattedCitation":"Indonesia, “Undang-Undang Nomor 28 Tahun 2014 Tentang Hak Cipta, Pasal 16 Ayat (2).” (2014).","previouslyFormattedCitation":"Indonesia, “Undang-Undang Nomor 28 Tahun 2014 Tentang Hak Cipta, Pasal 16 Ayat (2).” (2014)."},"properties":{"noteIndex":12},"schema":"https://github.com/citation-style-language/schema/raw/master/csl-citation.json"}</w:instrText>
      </w:r>
      <w:r>
        <w:fldChar w:fldCharType="separate"/>
      </w:r>
      <w:r w:rsidRPr="00B571B1">
        <w:rPr>
          <w:noProof/>
        </w:rPr>
        <w:t>Indonesia, “Undang-Undang Nomor 28 Tahun 2014 Tentang Hak Cipta, Pasal 16 Ayat (2).” (2014).</w:t>
      </w:r>
      <w:r>
        <w:fldChar w:fldCharType="end"/>
      </w:r>
    </w:p>
  </w:footnote>
  <w:footnote w:id="13">
    <w:p w14:paraId="0C6E2604" w14:textId="13689CDB" w:rsidR="00B571B1" w:rsidRDefault="00B571B1" w:rsidP="005541EE">
      <w:pPr>
        <w:pStyle w:val="FootnoteText"/>
        <w:ind w:firstLine="720"/>
        <w:jc w:val="both"/>
      </w:pPr>
      <w:r>
        <w:rPr>
          <w:rStyle w:val="FootnoteReference"/>
        </w:rPr>
        <w:footnoteRef/>
      </w:r>
      <w:r>
        <w:t xml:space="preserve"> </w:t>
      </w:r>
      <w:r>
        <w:fldChar w:fldCharType="begin" w:fldLock="1"/>
      </w:r>
      <w:r w:rsidR="008B405F">
        <w:instrText>ADDIN CSL_CITATION {"citationItems":[{"id":"ITEM-1","itemData":{"author":[{"dropping-particle":"","family":"Indonesia","given":"","non-dropping-particle":"","parse-names":false,"suffix":""}],"id":"ITEM-1","issued":{"date-parts":[["1999"]]},"title":"Undang-Undang Nomor 42 Tahun 1999 tentang Jaminan Fidusia.","type":"legislation"},"uris":["http://www.mendeley.com/documents/?uuid=147616a6-32c0-4fe5-99fe-210551808493"]}],"mendeley":{"formattedCitation":"Indonesia, “Undang-Undang Nomor 42 Tahun 1999 Tentang Jaminan Fidusia.” (1999).","plainTextFormattedCitation":"Indonesia, “Undang-Undang Nomor 42 Tahun 1999 Tentang Jaminan Fidusia.” (1999).","previouslyFormattedCitation":"Indonesia, “Undang-Undang Nomor 42 Tahun 1999 Tentang Jaminan Fidusia.” (1999)."},"properties":{"noteIndex":13},"schema":"https://github.com/citation-style-language/schema/raw/master/csl-citation.json"}</w:instrText>
      </w:r>
      <w:r>
        <w:fldChar w:fldCharType="separate"/>
      </w:r>
      <w:r w:rsidRPr="00B571B1">
        <w:rPr>
          <w:noProof/>
        </w:rPr>
        <w:t>Indonesia, “Undang-Undang Nomor 42 Tahun 1999 Tentang Jaminan Fidusia.” (1999).</w:t>
      </w:r>
      <w:r>
        <w:fldChar w:fldCharType="end"/>
      </w:r>
    </w:p>
  </w:footnote>
  <w:footnote w:id="14">
    <w:p w14:paraId="4E37122B" w14:textId="5DF1D2C2" w:rsidR="00B571B1" w:rsidRDefault="00B571B1" w:rsidP="005541EE">
      <w:pPr>
        <w:pStyle w:val="FootnoteText"/>
        <w:ind w:firstLine="720"/>
        <w:jc w:val="both"/>
      </w:pPr>
      <w:r>
        <w:rPr>
          <w:rStyle w:val="FootnoteReference"/>
        </w:rPr>
        <w:footnoteRef/>
      </w:r>
      <w:r>
        <w:t xml:space="preserve"> </w:t>
      </w:r>
      <w:r>
        <w:fldChar w:fldCharType="begin" w:fldLock="1"/>
      </w:r>
      <w:r w:rsidR="008B405F">
        <w:instrText>ADDIN CSL_CITATION {"citationItems":[{"id":"ITEM-1","itemData":{"author":[{"dropping-particle":"","family":"Farida Patittingi","given":"","non-dropping-particle":"","parse-names":false,"suffix":""}],"container-title":"Jurnal Mimbar Hukum","id":"ITEM-1","issue":"1","issued":{"date-parts":[["2017"]]},"page":"134–150.","title":"Kekayaan Intelektual sebagai Objek Jaminan Fidusia","type":"article-journal","volume":"29"},"uris":["http://www.mendeley.com/documents/?uuid=9490a4f1-b506-45d1-931e-fdd1f6e6df42"]}],"mendeley":{"formattedCitation":"Farida Patittingi, “Kekayaan Intelektual Sebagai Objek Jaminan Fidusia,” &lt;i&gt;Jurnal Mimbar Hukum&lt;/i&gt; 29, no. 1 (2017): 134–150.","plainTextFormattedCitation":"Farida Patittingi, “Kekayaan Intelektual Sebagai Objek Jaminan Fidusia,” Jurnal Mimbar Hukum 29, no. 1 (2017): 134–150.","previouslyFormattedCitation":"Farida Patittingi, “Kekayaan Intelektual Sebagai Objek Jaminan Fidusia,” &lt;i&gt;Jurnal Mimbar Hukum&lt;/i&gt; 29, no. 1 (2017): 134–150."},"properties":{"noteIndex":14},"schema":"https://github.com/citation-style-language/schema/raw/master/csl-citation.json"}</w:instrText>
      </w:r>
      <w:r>
        <w:fldChar w:fldCharType="separate"/>
      </w:r>
      <w:r w:rsidRPr="00B571B1">
        <w:rPr>
          <w:noProof/>
        </w:rPr>
        <w:t xml:space="preserve">Farida Patittingi, “Kekayaan Intelektual Sebagai Objek Jaminan Fidusia,” </w:t>
      </w:r>
      <w:r w:rsidRPr="00B571B1">
        <w:rPr>
          <w:i/>
          <w:noProof/>
        </w:rPr>
        <w:t>Jurnal Mimbar Hukum</w:t>
      </w:r>
      <w:r w:rsidRPr="00B571B1">
        <w:rPr>
          <w:noProof/>
        </w:rPr>
        <w:t xml:space="preserve"> 29, no. 1 (2017): 134–150.</w:t>
      </w:r>
      <w:r>
        <w:fldChar w:fldCharType="end"/>
      </w:r>
    </w:p>
  </w:footnote>
  <w:footnote w:id="15">
    <w:p w14:paraId="4EF6452F" w14:textId="02AC966C" w:rsidR="00B571B1" w:rsidRDefault="00B571B1" w:rsidP="005541EE">
      <w:pPr>
        <w:pStyle w:val="FootnoteText"/>
        <w:ind w:firstLine="720"/>
        <w:jc w:val="both"/>
      </w:pPr>
      <w:r>
        <w:rPr>
          <w:rStyle w:val="FootnoteReference"/>
        </w:rPr>
        <w:footnoteRef/>
      </w:r>
      <w:r>
        <w:t xml:space="preserve"> </w:t>
      </w:r>
      <w:r>
        <w:fldChar w:fldCharType="begin" w:fldLock="1"/>
      </w:r>
      <w:r w:rsidR="008B405F">
        <w:instrText>ADDIN CSL_CITATION {"citationItems":[{"id":"ITEM-1","itemData":{"author":[{"dropping-particle":"","family":"Susy Susilawati","given":"","non-dropping-particle":"","parse-names":false,"suffix":""}],"container-title":"Jurnal Yuridika","id":"ITEM-1","issue":"2","issued":{"date-parts":[["2020"]]},"page":"289–308.","title":"Hak Cipta sebagai Aset Tidak Berwujud dalam Hukum Jaminan","type":"article-journal","volume":"35"},"uris":["http://www.mendeley.com/documents/?uuid=d1ca58b5-a028-4a0b-9de4-0b1b446283f4"]}],"mendeley":{"formattedCitation":"Susy Susilawati, “Hak Cipta Sebagai Aset Tidak Berwujud Dalam Hukum Jaminan,” &lt;i&gt;Jurnal Yuridika&lt;/i&gt; 35, no. 2 (2020): 289–308.","plainTextFormattedCitation":"Susy Susilawati, “Hak Cipta Sebagai Aset Tidak Berwujud Dalam Hukum Jaminan,” Jurnal Yuridika 35, no. 2 (2020): 289–308.","previouslyFormattedCitation":"Susy Susilawati, “Hak Cipta Sebagai Aset Tidak Berwujud Dalam Hukum Jaminan,” &lt;i&gt;Jurnal Yuridika&lt;/i&gt; 35, no. 2 (2020): 289–308."},"properties":{"noteIndex":15},"schema":"https://github.com/citation-style-language/schema/raw/master/csl-citation.json"}</w:instrText>
      </w:r>
      <w:r>
        <w:fldChar w:fldCharType="separate"/>
      </w:r>
      <w:r w:rsidRPr="00B571B1">
        <w:rPr>
          <w:noProof/>
        </w:rPr>
        <w:t xml:space="preserve">Susy Susilawati, “Hak Cipta Sebagai Aset Tidak Berwujud Dalam Hukum Jaminan,” </w:t>
      </w:r>
      <w:r w:rsidRPr="00B571B1">
        <w:rPr>
          <w:i/>
          <w:noProof/>
        </w:rPr>
        <w:t>Jurnal Yuridika</w:t>
      </w:r>
      <w:r w:rsidRPr="00B571B1">
        <w:rPr>
          <w:noProof/>
        </w:rPr>
        <w:t xml:space="preserve"> 35, no. 2 (2020): 289–308.</w:t>
      </w:r>
      <w:r>
        <w:fldChar w:fldCharType="end"/>
      </w:r>
    </w:p>
  </w:footnote>
  <w:footnote w:id="16">
    <w:p w14:paraId="6EBE5DC8" w14:textId="41E1DA42" w:rsidR="00B571B1" w:rsidRDefault="00B571B1" w:rsidP="005541EE">
      <w:pPr>
        <w:pStyle w:val="FootnoteText"/>
        <w:ind w:firstLine="720"/>
        <w:jc w:val="both"/>
      </w:pPr>
      <w:r>
        <w:rPr>
          <w:rStyle w:val="FootnoteReference"/>
        </w:rPr>
        <w:footnoteRef/>
      </w:r>
      <w:r>
        <w:t xml:space="preserve"> </w:t>
      </w:r>
      <w:r>
        <w:fldChar w:fldCharType="begin" w:fldLock="1"/>
      </w:r>
      <w:r w:rsidR="008B405F">
        <w:instrText>ADDIN CSL_CITATION {"citationItems":[{"id":"ITEM-1","itemData":{"author":[{"dropping-particle":"","family":"Suyud Margono","given":"","non-dropping-particle":"","parse-names":false,"suffix":""}],"container-title":"Journal of Intellectual Property Rights","id":"ITEM-1","issue":"4","issued":{"date-parts":[["2019"]]},"page":"161–170.","title":"Valuasi Hak Kekayaan Intelektual sebagai Jaminan Kredit","type":"article-journal","volume":"24"},"uris":["http://www.mendeley.com/documents/?uuid=a41d08c7-ca47-4fe5-9556-0d199bd7fca8"]}],"mendeley":{"formattedCitation":"Suyud Margono, “Valuasi Hak Kekayaan Intelektual Sebagai Jaminan Kredit,” &lt;i&gt;Journal of Intellectual Property Rights&lt;/i&gt; 24, no. 4 (2019): 161–170.","plainTextFormattedCitation":"Suyud Margono, “Valuasi Hak Kekayaan Intelektual Sebagai Jaminan Kredit,” Journal of Intellectual Property Rights 24, no. 4 (2019): 161–170.","previouslyFormattedCitation":"Suyud Margono, “Valuasi Hak Kekayaan Intelektual Sebagai Jaminan Kredit,” &lt;i&gt;Journal of Intellectual Property Rights&lt;/i&gt; 24, no. 4 (2019): 161–170."},"properties":{"noteIndex":16},"schema":"https://github.com/citation-style-language/schema/raw/master/csl-citation.json"}</w:instrText>
      </w:r>
      <w:r>
        <w:fldChar w:fldCharType="separate"/>
      </w:r>
      <w:r w:rsidRPr="00B571B1">
        <w:rPr>
          <w:noProof/>
        </w:rPr>
        <w:t xml:space="preserve">Suyud Margono, “Valuasi Hak Kekayaan Intelektual Sebagai Jaminan Kredit,” </w:t>
      </w:r>
      <w:r w:rsidRPr="00B571B1">
        <w:rPr>
          <w:i/>
          <w:noProof/>
        </w:rPr>
        <w:t>Journal of Intellectual Property Rights</w:t>
      </w:r>
      <w:r w:rsidRPr="00B571B1">
        <w:rPr>
          <w:noProof/>
        </w:rPr>
        <w:t xml:space="preserve"> 24, no. 4 (2019): 161–170.</w:t>
      </w:r>
      <w:r>
        <w:fldChar w:fldCharType="end"/>
      </w:r>
    </w:p>
  </w:footnote>
  <w:footnote w:id="17">
    <w:p w14:paraId="7E0C77B2" w14:textId="3CFA4849" w:rsidR="002A5AAB" w:rsidRDefault="002A5AAB">
      <w:pPr>
        <w:pStyle w:val="FootnoteText"/>
      </w:pPr>
      <w:r>
        <w:rPr>
          <w:rStyle w:val="FootnoteReference"/>
        </w:rPr>
        <w:footnoteRef/>
      </w:r>
      <w:r>
        <w:t xml:space="preserve"> </w:t>
      </w:r>
      <w:r>
        <w:fldChar w:fldCharType="begin" w:fldLock="1"/>
      </w:r>
      <w:r>
        <w:instrText>ADDIN CSL_CITATION {"citationItems":[{"id":"ITEM-1","itemData":{"author":[{"dropping-particle":"","family":"Vafet Febrian Valentino Tololiu","given":"Muh Jufri Ahmad","non-dropping-particle":"","parse-names":false,"suffix":""}],"container-title":"Bureaucracy Journal of Law and Sosial-Political Governance","id":"ITEM-1","issue":"2","issued":{"date-parts":[["2023"]]},"title":"Kedudukan Barang Virtual Menurut Hukum Benda Indonesia Yang Diatur Dalam KUHPerdata Buku Kedua Tentang Barang","type":"article-journal","volume":"3"},"uris":["http://www.mendeley.com/documents/?uuid=fbbf1455-5d3f-4142-9953-c565d14441ba"]}],"mendeley":{"formattedCitation":"Muh Jufri Ahmad Vafet Febrian Valentino Tololiu, “Kedudukan Barang Virtual Menurut Hukum Benda Indonesia Yang Diatur Dalam KUHPerdata Buku Kedua Tentang Barang,” &lt;i&gt;Bureaucracy Journal of Law and Sosial-Political Governance&lt;/i&gt; 3, no. 2 (2023).","plainTextFormattedCitation":"Muh Jufri Ahmad Vafet Febrian Valentino Tololiu, “Kedudukan Barang Virtual Menurut Hukum Benda Indonesia Yang Diatur Dalam KUHPerdata Buku Kedua Tentang Barang,” Bureaucracy Journal of Law and Sosial-Political Governance 3, no. 2 (2023).","previouslyFormattedCitation":"Muh Jufri Ahmad Vafet Febrian Valentino Tololiu, “Kedudukan Barang Virtual Menurut Hukum Benda Indonesia Yang Diatur Dalam KUHPerdata Buku Kedua Tentang Barang,” &lt;i&gt;Bureaucracy Journal of Law and Sosial-Political Governance&lt;/i&gt; 3, no. 2 (2023)."},"properties":{"noteIndex":17},"schema":"https://github.com/citation-style-language/schema/raw/master/csl-citation.json"}</w:instrText>
      </w:r>
      <w:r>
        <w:fldChar w:fldCharType="separate"/>
      </w:r>
      <w:r w:rsidRPr="002A5AAB">
        <w:rPr>
          <w:noProof/>
        </w:rPr>
        <w:t xml:space="preserve">Muh Jufri Ahmad Vafet Febrian Valentino Tololiu, “Kedudukan Barang Virtual Menurut Hukum Benda Indonesia Yang Diatur Dalam KUHPerdata Buku Kedua Tentang Barang,” </w:t>
      </w:r>
      <w:r w:rsidRPr="002A5AAB">
        <w:rPr>
          <w:i/>
          <w:noProof/>
        </w:rPr>
        <w:t>Bureaucracy Journal of Law and Sosial-Political Governance</w:t>
      </w:r>
      <w:r w:rsidRPr="002A5AAB">
        <w:rPr>
          <w:noProof/>
        </w:rPr>
        <w:t xml:space="preserve"> 3, no. 2 (2023).</w:t>
      </w:r>
      <w:r>
        <w:fldChar w:fldCharType="end"/>
      </w:r>
    </w:p>
  </w:footnote>
  <w:footnote w:id="18">
    <w:p w14:paraId="2A3FFCD3" w14:textId="49B36521" w:rsidR="002A5AAB" w:rsidRDefault="002A5AAB">
      <w:pPr>
        <w:pStyle w:val="FootnoteText"/>
      </w:pPr>
      <w:r>
        <w:rPr>
          <w:rStyle w:val="FootnoteReference"/>
        </w:rPr>
        <w:footnoteRef/>
      </w:r>
      <w:r>
        <w:t xml:space="preserve"> </w:t>
      </w:r>
      <w:r>
        <w:fldChar w:fldCharType="begin" w:fldLock="1"/>
      </w:r>
      <w:r>
        <w:instrText>ADDIN CSL_CITATION {"citationItems":[{"id":"ITEM-1","itemData":{"author":[{"dropping-particle":"","family":"Usanti","given":"Trisadini Prasastinah","non-dropping-particle":"","parse-names":false,"suffix":""}],"container-title":"Jurnal Perspektif","id":"ITEM-1","issue":"1","issued":{"date-parts":[["2012"]]},"page":"45","title":"kelahiran Hak Kebendaan","type":"article-journal","volume":"XVII"},"uris":["http://www.mendeley.com/documents/?uuid=5fa0e405-ed6d-47d1-802a-63104563457d"]}],"mendeley":{"formattedCitation":"Trisadini Prasastinah Usanti, “Kelahiran Hak Kebendaan,” &lt;i&gt;Jurnal Perspektif&lt;/i&gt; XVII, no. 1 (2012): 45.","plainTextFormattedCitation":"Trisadini Prasastinah Usanti, “Kelahiran Hak Kebendaan,” Jurnal Perspektif XVII, no. 1 (2012): 45.","previouslyFormattedCitation":"Trisadini Prasastinah Usanti, “Kelahiran Hak Kebendaan,” &lt;i&gt;Jurnal Perspektif&lt;/i&gt; XVII, no. 1 (2012): 45."},"properties":{"noteIndex":18},"schema":"https://github.com/citation-style-language/schema/raw/master/csl-citation.json"}</w:instrText>
      </w:r>
      <w:r>
        <w:fldChar w:fldCharType="separate"/>
      </w:r>
      <w:r w:rsidRPr="002A5AAB">
        <w:rPr>
          <w:noProof/>
        </w:rPr>
        <w:t xml:space="preserve">Trisadini Prasastinah Usanti, “Kelahiran Hak Kebendaan,” </w:t>
      </w:r>
      <w:r w:rsidRPr="002A5AAB">
        <w:rPr>
          <w:i/>
          <w:noProof/>
        </w:rPr>
        <w:t>Jurnal Perspektif</w:t>
      </w:r>
      <w:r w:rsidRPr="002A5AAB">
        <w:rPr>
          <w:noProof/>
        </w:rPr>
        <w:t xml:space="preserve"> XVII, no. 1 (2012): 45.</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297B" w14:textId="77777777" w:rsidR="00F66B42"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32CD48DB" wp14:editId="0870C265">
              <wp:simplePos x="0" y="0"/>
              <wp:positionH relativeFrom="page">
                <wp:posOffset>824548</wp:posOffset>
              </wp:positionH>
              <wp:positionV relativeFrom="page">
                <wp:posOffset>482283</wp:posOffset>
              </wp:positionV>
              <wp:extent cx="4840605" cy="320040"/>
              <wp:effectExtent l="0" t="0" r="0" b="0"/>
              <wp:wrapNone/>
              <wp:docPr id="26" name="Rectangle 26"/>
              <wp:cNvGraphicFramePr/>
              <a:graphic xmlns:a="http://schemas.openxmlformats.org/drawingml/2006/main">
                <a:graphicData uri="http://schemas.microsoft.com/office/word/2010/wordprocessingShape">
                  <wps:wsp>
                    <wps:cNvSpPr/>
                    <wps:spPr>
                      <a:xfrm>
                        <a:off x="2930460" y="3624743"/>
                        <a:ext cx="4831080" cy="310515"/>
                      </a:xfrm>
                      <a:prstGeom prst="rect">
                        <a:avLst/>
                      </a:prstGeom>
                      <a:noFill/>
                      <a:ln>
                        <a:noFill/>
                      </a:ln>
                    </wps:spPr>
                    <wps:txbx>
                      <w:txbxContent>
                        <w:p w14:paraId="23322A26" w14:textId="77777777" w:rsidR="00F66B42" w:rsidRDefault="00000000">
                          <w:pPr>
                            <w:spacing w:line="185" w:lineRule="auto"/>
                            <w:ind w:left="20" w:firstLine="20"/>
                            <w:textDirection w:val="btLr"/>
                          </w:pPr>
                          <w:r>
                            <w:rPr>
                              <w:rFonts w:ascii="Times New Roman" w:eastAsia="Times New Roman" w:hAnsi="Times New Roman" w:cs="Times New Roman"/>
                              <w:b/>
                              <w:i/>
                              <w:color w:val="000000"/>
                              <w:sz w:val="16"/>
                            </w:rPr>
                            <w:t>Judul Artikel (diisi oleh editor)</w:t>
                          </w:r>
                        </w:p>
                      </w:txbxContent>
                    </wps:txbx>
                    <wps:bodyPr spcFirstLastPara="1" wrap="square" lIns="0" tIns="0" rIns="0" bIns="0" anchor="t" anchorCtr="0">
                      <a:noAutofit/>
                    </wps:bodyPr>
                  </wps:wsp>
                </a:graphicData>
              </a:graphic>
            </wp:anchor>
          </w:drawing>
        </mc:Choice>
        <mc:Fallback>
          <w:pict>
            <v:rect w14:anchorId="32CD48DB" id="Rectangle 26" o:spid="_x0000_s1026" style="position:absolute;margin-left:64.95pt;margin-top:38pt;width:381.15pt;height:25.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" filled="f" stroked="f">
              <v:textbox inset="0,0,0,0">
                <w:txbxContent>
                  <w:p w14:paraId="23322A26" w14:textId="77777777" w:rsidR="00F66B42" w:rsidRDefault="00000000">
                    <w:pPr>
                      <w:spacing w:line="185" w:lineRule="auto"/>
                      <w:ind w:left="20" w:firstLine="20"/>
                      <w:textDirection w:val="btLr"/>
                    </w:pPr>
                    <w:r>
                      <w:rPr>
                        <w:rFonts w:ascii="Times New Roman" w:eastAsia="Times New Roman" w:hAnsi="Times New Roman" w:cs="Times New Roman"/>
                        <w:b/>
                        <w:i/>
                        <w:color w:val="000000"/>
                        <w:sz w:val="16"/>
                      </w:rPr>
                      <w:t>Judul Artikel (diisi oleh editor)</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142F31"/>
    <w:multiLevelType w:val="multilevel"/>
    <w:tmpl w:val="5D449040"/>
    <w:lvl w:ilvl="0">
      <w:start w:val="1"/>
      <w:numFmt w:val="upp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A9071C9"/>
    <w:multiLevelType w:val="hybridMultilevel"/>
    <w:tmpl w:val="F4F4E668"/>
    <w:lvl w:ilvl="0" w:tplc="3809000F">
      <w:start w:val="1"/>
      <w:numFmt w:val="decimal"/>
      <w:lvlText w:val="%1."/>
      <w:lvlJc w:val="left"/>
      <w:pPr>
        <w:ind w:left="1160" w:hanging="360"/>
      </w:pPr>
    </w:lvl>
    <w:lvl w:ilvl="1" w:tplc="38090019" w:tentative="1">
      <w:start w:val="1"/>
      <w:numFmt w:val="lowerLetter"/>
      <w:lvlText w:val="%2."/>
      <w:lvlJc w:val="left"/>
      <w:pPr>
        <w:ind w:left="1880" w:hanging="360"/>
      </w:pPr>
    </w:lvl>
    <w:lvl w:ilvl="2" w:tplc="3809001B" w:tentative="1">
      <w:start w:val="1"/>
      <w:numFmt w:val="lowerRoman"/>
      <w:lvlText w:val="%3."/>
      <w:lvlJc w:val="right"/>
      <w:pPr>
        <w:ind w:left="2600" w:hanging="180"/>
      </w:pPr>
    </w:lvl>
    <w:lvl w:ilvl="3" w:tplc="3809000F" w:tentative="1">
      <w:start w:val="1"/>
      <w:numFmt w:val="decimal"/>
      <w:lvlText w:val="%4."/>
      <w:lvlJc w:val="left"/>
      <w:pPr>
        <w:ind w:left="3320" w:hanging="360"/>
      </w:pPr>
    </w:lvl>
    <w:lvl w:ilvl="4" w:tplc="38090019" w:tentative="1">
      <w:start w:val="1"/>
      <w:numFmt w:val="lowerLetter"/>
      <w:lvlText w:val="%5."/>
      <w:lvlJc w:val="left"/>
      <w:pPr>
        <w:ind w:left="4040" w:hanging="360"/>
      </w:pPr>
    </w:lvl>
    <w:lvl w:ilvl="5" w:tplc="3809001B" w:tentative="1">
      <w:start w:val="1"/>
      <w:numFmt w:val="lowerRoman"/>
      <w:lvlText w:val="%6."/>
      <w:lvlJc w:val="right"/>
      <w:pPr>
        <w:ind w:left="4760" w:hanging="180"/>
      </w:pPr>
    </w:lvl>
    <w:lvl w:ilvl="6" w:tplc="3809000F" w:tentative="1">
      <w:start w:val="1"/>
      <w:numFmt w:val="decimal"/>
      <w:lvlText w:val="%7."/>
      <w:lvlJc w:val="left"/>
      <w:pPr>
        <w:ind w:left="5480" w:hanging="360"/>
      </w:pPr>
    </w:lvl>
    <w:lvl w:ilvl="7" w:tplc="38090019" w:tentative="1">
      <w:start w:val="1"/>
      <w:numFmt w:val="lowerLetter"/>
      <w:lvlText w:val="%8."/>
      <w:lvlJc w:val="left"/>
      <w:pPr>
        <w:ind w:left="6200" w:hanging="360"/>
      </w:pPr>
    </w:lvl>
    <w:lvl w:ilvl="8" w:tplc="3809001B" w:tentative="1">
      <w:start w:val="1"/>
      <w:numFmt w:val="lowerRoman"/>
      <w:lvlText w:val="%9."/>
      <w:lvlJc w:val="right"/>
      <w:pPr>
        <w:ind w:left="6920" w:hanging="180"/>
      </w:pPr>
    </w:lvl>
  </w:abstractNum>
  <w:abstractNum w:abstractNumId="2" w15:restartNumberingAfterBreak="0">
    <w:nsid w:val="67F622A0"/>
    <w:multiLevelType w:val="hybridMultilevel"/>
    <w:tmpl w:val="62106EB4"/>
    <w:lvl w:ilvl="0" w:tplc="8DCA20FA">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7BF066AD"/>
    <w:multiLevelType w:val="hybridMultilevel"/>
    <w:tmpl w:val="6C2C54F2"/>
    <w:lvl w:ilvl="0" w:tplc="3809000F">
      <w:start w:val="1"/>
      <w:numFmt w:val="decimal"/>
      <w:lvlText w:val="%1."/>
      <w:lvlJc w:val="left"/>
      <w:pPr>
        <w:ind w:left="1160" w:hanging="360"/>
      </w:pPr>
    </w:lvl>
    <w:lvl w:ilvl="1" w:tplc="38090019" w:tentative="1">
      <w:start w:val="1"/>
      <w:numFmt w:val="lowerLetter"/>
      <w:lvlText w:val="%2."/>
      <w:lvlJc w:val="left"/>
      <w:pPr>
        <w:ind w:left="1880" w:hanging="360"/>
      </w:pPr>
    </w:lvl>
    <w:lvl w:ilvl="2" w:tplc="3809001B" w:tentative="1">
      <w:start w:val="1"/>
      <w:numFmt w:val="lowerRoman"/>
      <w:lvlText w:val="%3."/>
      <w:lvlJc w:val="right"/>
      <w:pPr>
        <w:ind w:left="2600" w:hanging="180"/>
      </w:pPr>
    </w:lvl>
    <w:lvl w:ilvl="3" w:tplc="3809000F" w:tentative="1">
      <w:start w:val="1"/>
      <w:numFmt w:val="decimal"/>
      <w:lvlText w:val="%4."/>
      <w:lvlJc w:val="left"/>
      <w:pPr>
        <w:ind w:left="3320" w:hanging="360"/>
      </w:pPr>
    </w:lvl>
    <w:lvl w:ilvl="4" w:tplc="38090019" w:tentative="1">
      <w:start w:val="1"/>
      <w:numFmt w:val="lowerLetter"/>
      <w:lvlText w:val="%5."/>
      <w:lvlJc w:val="left"/>
      <w:pPr>
        <w:ind w:left="4040" w:hanging="360"/>
      </w:pPr>
    </w:lvl>
    <w:lvl w:ilvl="5" w:tplc="3809001B" w:tentative="1">
      <w:start w:val="1"/>
      <w:numFmt w:val="lowerRoman"/>
      <w:lvlText w:val="%6."/>
      <w:lvlJc w:val="right"/>
      <w:pPr>
        <w:ind w:left="4760" w:hanging="180"/>
      </w:pPr>
    </w:lvl>
    <w:lvl w:ilvl="6" w:tplc="3809000F" w:tentative="1">
      <w:start w:val="1"/>
      <w:numFmt w:val="decimal"/>
      <w:lvlText w:val="%7."/>
      <w:lvlJc w:val="left"/>
      <w:pPr>
        <w:ind w:left="5480" w:hanging="360"/>
      </w:pPr>
    </w:lvl>
    <w:lvl w:ilvl="7" w:tplc="38090019" w:tentative="1">
      <w:start w:val="1"/>
      <w:numFmt w:val="lowerLetter"/>
      <w:lvlText w:val="%8."/>
      <w:lvlJc w:val="left"/>
      <w:pPr>
        <w:ind w:left="6200" w:hanging="360"/>
      </w:pPr>
    </w:lvl>
    <w:lvl w:ilvl="8" w:tplc="3809001B" w:tentative="1">
      <w:start w:val="1"/>
      <w:numFmt w:val="lowerRoman"/>
      <w:lvlText w:val="%9."/>
      <w:lvlJc w:val="right"/>
      <w:pPr>
        <w:ind w:left="6920" w:hanging="180"/>
      </w:pPr>
    </w:lvl>
  </w:abstractNum>
  <w:num w:numId="1" w16cid:durableId="1324891968">
    <w:abstractNumId w:val="0"/>
  </w:num>
  <w:num w:numId="2" w16cid:durableId="1226063367">
    <w:abstractNumId w:val="2"/>
  </w:num>
  <w:num w:numId="3" w16cid:durableId="1391268228">
    <w:abstractNumId w:val="1"/>
  </w:num>
  <w:num w:numId="4" w16cid:durableId="4830124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B42"/>
    <w:rsid w:val="00043B55"/>
    <w:rsid w:val="00255FE8"/>
    <w:rsid w:val="002843DF"/>
    <w:rsid w:val="002A5AAB"/>
    <w:rsid w:val="0036781F"/>
    <w:rsid w:val="005541EE"/>
    <w:rsid w:val="00592A6D"/>
    <w:rsid w:val="00661E8F"/>
    <w:rsid w:val="006F3028"/>
    <w:rsid w:val="0070137E"/>
    <w:rsid w:val="00881C30"/>
    <w:rsid w:val="008B405F"/>
    <w:rsid w:val="00964FCE"/>
    <w:rsid w:val="00983062"/>
    <w:rsid w:val="009864D7"/>
    <w:rsid w:val="00B571B1"/>
    <w:rsid w:val="00CE4832"/>
    <w:rsid w:val="00F25BC2"/>
    <w:rsid w:val="00F66158"/>
    <w:rsid w:val="00F66B4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A040A"/>
  <w15:docId w15:val="{D167A417-FDDE-421E-98F3-A52C9246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eastAsia="en-US"/>
    </w:rPr>
  </w:style>
  <w:style w:type="paragraph" w:styleId="Heading1">
    <w:name w:val="heading 1"/>
    <w:basedOn w:val="Normal"/>
    <w:uiPriority w:val="9"/>
    <w:qFormat/>
    <w:pPr>
      <w:spacing w:line="269" w:lineRule="exact"/>
      <w:ind w:left="402" w:hanging="285"/>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7"/>
      <w:ind w:left="118" w:right="85"/>
    </w:pPr>
    <w:rPr>
      <w:b/>
      <w:bCs/>
      <w:sz w:val="26"/>
      <w:szCs w:val="26"/>
    </w:rPr>
  </w:style>
  <w:style w:type="paragraph" w:styleId="BodyText">
    <w:name w:val="Body Text"/>
    <w:basedOn w:val="Normal"/>
    <w:uiPriority w:val="1"/>
    <w:qFormat/>
    <w:pPr>
      <w:ind w:left="118"/>
      <w:jc w:val="both"/>
    </w:pPr>
    <w:rPr>
      <w:sz w:val="20"/>
      <w:szCs w:val="20"/>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pPr>
      <w:snapToGrid w:val="0"/>
    </w:pPr>
    <w:rPr>
      <w:sz w:val="18"/>
      <w:szCs w:val="18"/>
    </w:rPr>
  </w:style>
  <w:style w:type="paragraph" w:styleId="NormalWeb">
    <w:name w:val="Normal (Web)"/>
    <w:qFormat/>
    <w:pPr>
      <w:spacing w:beforeAutospacing="1" w:afterAutospacing="1"/>
    </w:pPr>
    <w:rPr>
      <w:rFonts w:ascii="Times New Roman" w:eastAsia="SimSun" w:hAnsi="Times New Roman" w:cs="Times New Roman"/>
      <w:sz w:val="24"/>
      <w:szCs w:val="24"/>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25BC2"/>
    <w:rPr>
      <w:color w:val="0563C1" w:themeColor="hyperlink"/>
      <w:u w:val="single"/>
    </w:rPr>
  </w:style>
  <w:style w:type="character" w:styleId="UnresolvedMention">
    <w:name w:val="Unresolved Mention"/>
    <w:basedOn w:val="DefaultParagraphFont"/>
    <w:uiPriority w:val="99"/>
    <w:semiHidden/>
    <w:unhideWhenUsed/>
    <w:rsid w:val="00F25BC2"/>
    <w:rPr>
      <w:color w:val="605E5C"/>
      <w:shd w:val="clear" w:color="auto" w:fill="E1DFDD"/>
    </w:rPr>
  </w:style>
  <w:style w:type="paragraph" w:styleId="ListParagraph">
    <w:name w:val="List Paragraph"/>
    <w:basedOn w:val="Normal"/>
    <w:uiPriority w:val="34"/>
    <w:qFormat/>
    <w:rsid w:val="00592A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ekapriambodo.ucy@gmail.com"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rNj2r5Jqx2FMWmbaUkzWNy9ZQA==">CgMxLjAyCGguZ2pkZ3hzOAByITE2aTktU2JBeXdIZHhBSTZ5MUZMazY5TW5nVmcwbVVRVw==</go:docsCustomData>
</go:gDocsCustomXmlDataStorage>
</file>

<file path=customXml/itemProps1.xml><?xml version="1.0" encoding="utf-8"?>
<ds:datastoreItem xmlns:ds="http://schemas.openxmlformats.org/officeDocument/2006/customXml" ds:itemID="{DDECD345-E2D0-4FBF-97D6-839F56B70E5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2756</Words>
  <Characters>15713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hsl</dc:creator>
  <cp:lastModifiedBy>MUH RIZKI</cp:lastModifiedBy>
  <cp:revision>7</cp:revision>
  <dcterms:created xsi:type="dcterms:W3CDTF">2024-12-11T00:24:00Z</dcterms:created>
  <dcterms:modified xsi:type="dcterms:W3CDTF">2026-01-01T04:57:00Z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1033-12.8.2.14803</vt:lpwstr>
  </property>
  <property fmtid="{D5CDD505-2E9C-101B-9397-08002B2CF9AE}" pid="3" name="ICV">
    <vt:lpwstr>7A8511438092B149D8195767AB6E3494_41</vt:lpwstr>
  </property>
  <property fmtid="{D5CDD505-2E9C-101B-9397-08002B2CF9AE}" pid="4" name="Mendeley Document_1">
    <vt:lpwstr>True</vt:lpwstr>
  </property>
  <property fmtid="{D5CDD505-2E9C-101B-9397-08002B2CF9AE}" pid="5" name="Mendeley Unique User Id_1">
    <vt:lpwstr>a5760a9a-af6b-3694-b3a8-4519c794e0d7</vt:lpwstr>
  </property>
  <property fmtid="{D5CDD505-2E9C-101B-9397-08002B2CF9AE}" pid="6" name="Mendeley Citation Style_1">
    <vt:lpwstr>http://www.zotero.org/styles/chicago-fullnote-bibliography</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http://www.zotero.org/styles/chicago-fullnote-bibliography</vt:lpwstr>
  </property>
  <property fmtid="{D5CDD505-2E9C-101B-9397-08002B2CF9AE}" pid="16" name="Mendeley Recent Style Name 4_1">
    <vt:lpwstr>Chicago Manual of Style 17th edition (full note)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http://www.zotero.org/styles/modern-language-association</vt:lpwstr>
  </property>
  <property fmtid="{D5CDD505-2E9C-101B-9397-08002B2CF9AE}" pid="22" name="Mendeley Recent Style Name 7_1">
    <vt:lpwstr>Modern Language Association 9th edition</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http://www.zotero.org/styles/turabian-fullnote-bibliography</vt:lpwstr>
  </property>
  <property fmtid="{D5CDD505-2E9C-101B-9397-08002B2CF9AE}" pid="26" name="Mendeley Recent Style Name 9_1">
    <vt:lpwstr>Turabian 8th edition (full note)</vt:lpwstr>
  </property>
</Properties>
</file>