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817" w:rsidRPr="00DD4B6F" w:rsidRDefault="00EA7354" w:rsidP="00493480">
      <w:pPr>
        <w:pStyle w:val="TTPTitle"/>
        <w:spacing w:after="240"/>
        <w:rPr>
          <w:bCs w:val="0"/>
          <w:sz w:val="28"/>
          <w:szCs w:val="28"/>
        </w:rPr>
      </w:pPr>
      <w:r w:rsidRPr="00EA7354">
        <w:rPr>
          <w:bCs w:val="0"/>
          <w:sz w:val="28"/>
          <w:szCs w:val="28"/>
        </w:rPr>
        <w:t>Metalurgi Serbuk Magnesium Untuk Aplikasi Scaffold Tulang Mampu Terdegradasi</w:t>
      </w:r>
    </w:p>
    <w:p w:rsidR="00F30817" w:rsidRPr="00DD4B6F" w:rsidRDefault="00EA7354" w:rsidP="00BD0743">
      <w:pPr>
        <w:pStyle w:val="TTPAuthors"/>
        <w:spacing w:before="240" w:after="240"/>
        <w:rPr>
          <w:b/>
          <w:lang w:val="id-ID"/>
        </w:rPr>
      </w:pPr>
      <w:r>
        <w:rPr>
          <w:b/>
          <w:sz w:val="24"/>
          <w:szCs w:val="24"/>
        </w:rPr>
        <w:t>Sulis Dri H</w:t>
      </w:r>
      <w:r w:rsidR="00235825">
        <w:rPr>
          <w:b/>
          <w:sz w:val="24"/>
          <w:szCs w:val="24"/>
        </w:rPr>
        <w:t>.</w:t>
      </w:r>
      <w:r w:rsidRPr="00DD4B6F">
        <w:rPr>
          <w:b/>
          <w:sz w:val="24"/>
          <w:szCs w:val="24"/>
          <w:vertAlign w:val="superscript"/>
        </w:rPr>
        <w:t>1</w:t>
      </w:r>
      <w:r w:rsidR="00F30817" w:rsidRPr="00DD4B6F">
        <w:rPr>
          <w:b/>
          <w:bCs/>
          <w:sz w:val="24"/>
          <w:szCs w:val="24"/>
        </w:rPr>
        <w:t>,</w:t>
      </w:r>
      <w:r w:rsidR="00235825">
        <w:rPr>
          <w:b/>
          <w:sz w:val="24"/>
          <w:szCs w:val="24"/>
        </w:rPr>
        <w:t xml:space="preserve"> </w:t>
      </w:r>
      <w:r w:rsidR="00A12A46">
        <w:rPr>
          <w:b/>
          <w:sz w:val="24"/>
          <w:szCs w:val="24"/>
        </w:rPr>
        <w:t>Mafruddin</w:t>
      </w:r>
      <w:r w:rsidR="003D504F" w:rsidRPr="00DD4B6F">
        <w:rPr>
          <w:b/>
          <w:sz w:val="24"/>
          <w:szCs w:val="24"/>
          <w:vertAlign w:val="superscript"/>
        </w:rPr>
        <w:t>2</w:t>
      </w:r>
      <w:r w:rsidR="00B47D76" w:rsidRPr="00DD4B6F">
        <w:rPr>
          <w:b/>
          <w:sz w:val="24"/>
          <w:szCs w:val="24"/>
          <w:vertAlign w:val="superscript"/>
          <w:lang w:val="id-ID"/>
        </w:rPr>
        <w:t>*</w:t>
      </w:r>
      <w:r w:rsidR="00DD4B6F" w:rsidRPr="00DD4B6F">
        <w:rPr>
          <w:b/>
          <w:sz w:val="24"/>
          <w:szCs w:val="24"/>
          <w:lang w:val="id-ID"/>
        </w:rPr>
        <w:t xml:space="preserve">, </w:t>
      </w:r>
      <w:r w:rsidR="00235825">
        <w:rPr>
          <w:b/>
          <w:sz w:val="24"/>
          <w:szCs w:val="24"/>
          <w:lang w:val="id-ID"/>
        </w:rPr>
        <w:t xml:space="preserve">Tri Cahyo W. </w:t>
      </w:r>
      <w:r w:rsidR="00235825">
        <w:rPr>
          <w:b/>
          <w:sz w:val="24"/>
          <w:szCs w:val="24"/>
          <w:vertAlign w:val="superscript"/>
        </w:rPr>
        <w:t>3</w:t>
      </w:r>
      <w:r w:rsidR="00235825">
        <w:rPr>
          <w:b/>
          <w:sz w:val="24"/>
          <w:szCs w:val="24"/>
          <w:lang w:val="id-ID"/>
        </w:rPr>
        <w:t xml:space="preserve">, </w:t>
      </w:r>
      <w:r w:rsidR="00F86EAA">
        <w:rPr>
          <w:b/>
          <w:sz w:val="24"/>
          <w:szCs w:val="24"/>
          <w:lang w:val="id-ID"/>
        </w:rPr>
        <w:t>Ardi</w:t>
      </w:r>
      <w:r>
        <w:rPr>
          <w:b/>
          <w:sz w:val="24"/>
          <w:szCs w:val="24"/>
          <w:lang w:val="id-ID"/>
        </w:rPr>
        <w:t>an P.</w:t>
      </w:r>
      <w:r w:rsidR="00235825">
        <w:rPr>
          <w:b/>
          <w:sz w:val="24"/>
          <w:szCs w:val="24"/>
          <w:vertAlign w:val="superscript"/>
          <w:lang w:val="id-ID"/>
        </w:rPr>
        <w:t>4</w:t>
      </w:r>
      <w:r>
        <w:rPr>
          <w:b/>
          <w:lang w:val="id-ID"/>
        </w:rPr>
        <w:t>, Ilyas S.</w:t>
      </w:r>
      <w:r w:rsidR="00235825">
        <w:rPr>
          <w:b/>
          <w:vertAlign w:val="superscript"/>
          <w:lang w:val="id-ID"/>
        </w:rPr>
        <w:t>5</w:t>
      </w:r>
      <w:r>
        <w:rPr>
          <w:b/>
          <w:lang w:val="id-ID"/>
        </w:rPr>
        <w:t>, Arif A.</w:t>
      </w:r>
      <w:r w:rsidR="00235825">
        <w:rPr>
          <w:b/>
          <w:vertAlign w:val="superscript"/>
          <w:lang w:val="id-ID"/>
        </w:rPr>
        <w:t>6</w:t>
      </w:r>
    </w:p>
    <w:p w:rsidR="00B92EBE" w:rsidRDefault="00B92EBE" w:rsidP="007F18B8">
      <w:pPr>
        <w:pStyle w:val="TTPAddress"/>
        <w:spacing w:before="0"/>
      </w:pPr>
      <w:r>
        <w:rPr>
          <w:vertAlign w:val="superscript"/>
        </w:rPr>
        <w:t>4,5</w:t>
      </w:r>
      <w:r w:rsidR="00B47D76">
        <w:rPr>
          <w:vertAlign w:val="superscript"/>
        </w:rPr>
        <w:t xml:space="preserve">,6 </w:t>
      </w:r>
      <w:r>
        <w:rPr>
          <w:lang w:val="id-ID"/>
        </w:rPr>
        <w:t xml:space="preserve">Prodi </w:t>
      </w:r>
      <w:r w:rsidR="00200D90" w:rsidRPr="007F18B8">
        <w:t>Teknik Mesin</w:t>
      </w:r>
      <w:r w:rsidR="00CC00CA" w:rsidRPr="007F18B8">
        <w:rPr>
          <w:lang w:val="id-ID"/>
        </w:rPr>
        <w:t>,</w:t>
      </w:r>
      <w:r w:rsidR="00880E43">
        <w:rPr>
          <w:lang w:val="id-ID"/>
        </w:rPr>
        <w:t>Fakultas Teknik</w:t>
      </w:r>
      <w:r w:rsidR="00CC00CA" w:rsidRPr="007F18B8">
        <w:rPr>
          <w:lang w:val="id-ID"/>
        </w:rPr>
        <w:t xml:space="preserve">, </w:t>
      </w:r>
      <w:r w:rsidR="00880E43">
        <w:t>Universitas Muhammadiyah Metro</w:t>
      </w:r>
    </w:p>
    <w:p w:rsidR="00D3599A" w:rsidRPr="007F18B8" w:rsidRDefault="00D3599A" w:rsidP="007F18B8">
      <w:pPr>
        <w:pStyle w:val="TTPAddress"/>
        <w:spacing w:before="0"/>
      </w:pPr>
      <w:r w:rsidRPr="00D3599A">
        <w:t>Jl. Ki Hajar Dewantara 15 A Kota Metro, Lampung, Indonesia</w:t>
      </w:r>
    </w:p>
    <w:p w:rsidR="00B92EBE" w:rsidRDefault="00B92EBE" w:rsidP="007F18B8">
      <w:pPr>
        <w:pStyle w:val="TTPAddress"/>
        <w:spacing w:before="0"/>
        <w:rPr>
          <w:lang w:val="id-ID"/>
        </w:rPr>
      </w:pPr>
      <w:r>
        <w:rPr>
          <w:vertAlign w:val="superscript"/>
        </w:rPr>
        <w:t>1,2</w:t>
      </w:r>
      <w:r w:rsidR="00B47D76">
        <w:rPr>
          <w:vertAlign w:val="superscript"/>
        </w:rPr>
        <w:t>,3</w:t>
      </w:r>
      <w:r w:rsidR="00200D90" w:rsidRPr="007F18B8">
        <w:t>Jurusan</w:t>
      </w:r>
      <w:r w:rsidR="00D3599A" w:rsidRPr="007F18B8">
        <w:t>Teknik Mesin</w:t>
      </w:r>
      <w:r w:rsidR="00D3599A" w:rsidRPr="007F18B8">
        <w:rPr>
          <w:lang w:val="id-ID"/>
        </w:rPr>
        <w:t>,</w:t>
      </w:r>
      <w:r w:rsidR="00D3599A">
        <w:rPr>
          <w:lang w:val="id-ID"/>
        </w:rPr>
        <w:t>Fakultas Teknik</w:t>
      </w:r>
      <w:r w:rsidR="00D3599A" w:rsidRPr="007F18B8">
        <w:rPr>
          <w:lang w:val="id-ID"/>
        </w:rPr>
        <w:t xml:space="preserve">, </w:t>
      </w:r>
      <w:r w:rsidR="00D3599A">
        <w:t>Universitas Muhammadiyah Metro</w:t>
      </w:r>
    </w:p>
    <w:p w:rsidR="00D3599A" w:rsidRPr="007F18B8" w:rsidRDefault="00D3599A" w:rsidP="007F18B8">
      <w:pPr>
        <w:pStyle w:val="TTPAddress"/>
        <w:spacing w:before="0"/>
        <w:rPr>
          <w:lang w:val="id-ID"/>
        </w:rPr>
      </w:pPr>
      <w:r w:rsidRPr="00D3599A">
        <w:rPr>
          <w:lang w:val="id-ID"/>
        </w:rPr>
        <w:t>Jl. Ki Hajar Dewantara 15 A Kota Metro, Lampung, Indonesia</w:t>
      </w:r>
    </w:p>
    <w:p w:rsidR="00266B6B" w:rsidRPr="00B47D76" w:rsidRDefault="00A55639" w:rsidP="002A6DEB">
      <w:pPr>
        <w:pStyle w:val="TTPAddress"/>
        <w:spacing w:before="0"/>
        <w:rPr>
          <w:i/>
          <w:lang w:val="id-ID"/>
        </w:rPr>
      </w:pPr>
      <w:r w:rsidRPr="007F18B8">
        <w:rPr>
          <w:lang w:val="id-ID"/>
        </w:rPr>
        <w:t>*</w:t>
      </w:r>
      <w:r w:rsidRPr="00B47D76">
        <w:rPr>
          <w:i/>
          <w:iCs/>
          <w:lang w:val="id-ID"/>
        </w:rPr>
        <w:t>Corresponding author</w:t>
      </w:r>
      <w:r w:rsidR="00CC00CA" w:rsidRPr="00B47D76">
        <w:rPr>
          <w:i/>
          <w:lang w:val="id-ID"/>
        </w:rPr>
        <w:t xml:space="preserve">: </w:t>
      </w:r>
      <w:r w:rsidR="00B47D76" w:rsidRPr="00B47D76">
        <w:rPr>
          <w:i/>
          <w:lang w:val="id-ID"/>
        </w:rPr>
        <w:t>mafruddinmn</w:t>
      </w:r>
      <w:r w:rsidR="00B92EBE" w:rsidRPr="00B47D76">
        <w:rPr>
          <w:i/>
          <w:lang w:val="id-ID"/>
        </w:rPr>
        <w:t>@gmail</w:t>
      </w:r>
      <w:r w:rsidR="00DD4B6F" w:rsidRPr="00B47D76">
        <w:rPr>
          <w:i/>
          <w:lang w:val="id-ID"/>
        </w:rPr>
        <w:t>.com</w:t>
      </w:r>
    </w:p>
    <w:p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rsidR="0051319B" w:rsidRDefault="0051319B" w:rsidP="0051319B">
      <w:pPr>
        <w:pStyle w:val="TTPSectionHeading"/>
        <w:spacing w:before="0" w:after="0"/>
        <w:ind w:firstLine="567"/>
        <w:rPr>
          <w:i/>
          <w:iCs/>
          <w:lang w:val="id-ID"/>
        </w:rPr>
      </w:pPr>
      <w:r w:rsidRPr="0051319B">
        <w:rPr>
          <w:b w:val="0"/>
          <w:bCs w:val="0"/>
          <w:i/>
          <w:lang w:val="id-ID"/>
        </w:rPr>
        <w:t>Healing of bones damaged by accidents or other factors can be done by creating artificial bone structures or bone scaffolds that can initiate the growth of bone tissue and help support bones so they can function. The process of making bone scaffold can be done by powder metallurgy sintering process with magnesium material. The purpose of this study was to determine the effect of variations in sintering temperature and compaction pressure in the magnesium powder metallurgical sintering process on the compressive strength and microstructure applied to degradable bone scaffolds. The research method used is experimental method by making and testing powder metallurgical magnesium material. The powder metallurgy process was carried out with various sintering temperatures of 350°C, 400°C and 450°C and variations of compaction pressure, namely 231 MPa, 309 MPa and 386 MPa. The results showed that variations in sintering temperature and compaction pressure affected the compressive strength and microstructure. The sintering temperature of 450°C and compaction pressure of 386 MPa resulted in the lowest pore percentage rate of 15.14% and the highest compressive strength of 80.26 MPa</w:t>
      </w:r>
      <w:r>
        <w:rPr>
          <w:i/>
          <w:iCs/>
          <w:lang w:val="id-ID"/>
        </w:rPr>
        <w:t>.</w:t>
      </w:r>
    </w:p>
    <w:p w:rsidR="002A6DEB" w:rsidRPr="002A6DEB" w:rsidRDefault="002A6DEB" w:rsidP="0051319B">
      <w:pPr>
        <w:pStyle w:val="TTPSectionHeading"/>
        <w:spacing w:before="0" w:after="0"/>
        <w:ind w:left="1276" w:hanging="1276"/>
        <w:rPr>
          <w:lang w:val="id-ID"/>
        </w:rPr>
      </w:pPr>
      <w:r w:rsidRPr="002A6DEB">
        <w:rPr>
          <w:i/>
          <w:iCs/>
          <w:lang w:val="id-ID"/>
        </w:rPr>
        <w:t>Keywords</w:t>
      </w:r>
      <w:r w:rsidR="00BE10C0">
        <w:rPr>
          <w:lang w:val="id-ID"/>
        </w:rPr>
        <w:t xml:space="preserve">: </w:t>
      </w:r>
      <w:r w:rsidR="0051319B" w:rsidRPr="0051319B">
        <w:rPr>
          <w:b w:val="0"/>
          <w:i/>
          <w:iCs/>
        </w:rPr>
        <w:t>Sintering of Magnesium Powder Metallurgy, Temperature, Pressure, Microstructure, Compressive Strength.</w:t>
      </w:r>
    </w:p>
    <w:p w:rsidR="002A6DEB" w:rsidRPr="002A6DEB" w:rsidRDefault="00FE39F8" w:rsidP="008E6B41">
      <w:pPr>
        <w:pStyle w:val="TTPAbstract"/>
        <w:spacing w:before="240" w:after="120"/>
        <w:jc w:val="center"/>
        <w:rPr>
          <w:b/>
          <w:bCs/>
          <w:lang w:val="id-ID"/>
        </w:rPr>
      </w:pPr>
      <w:r w:rsidRPr="002A6DEB">
        <w:rPr>
          <w:b/>
          <w:bCs/>
          <w:iCs/>
        </w:rPr>
        <w:t>Abstrak</w:t>
      </w:r>
    </w:p>
    <w:p w:rsidR="00DF5779" w:rsidRPr="002A6DEB" w:rsidRDefault="006A3608" w:rsidP="00C23314">
      <w:pPr>
        <w:pStyle w:val="TTPAbstract"/>
        <w:spacing w:before="0"/>
        <w:ind w:firstLine="567"/>
      </w:pPr>
      <w:r w:rsidRPr="006A3608">
        <w:t xml:space="preserve">Penyembuhan tulang yang rusak </w:t>
      </w:r>
      <w:r w:rsidR="00F243DD">
        <w:t>akibat kecelakaan atau faktor lainnya dapat dilakukan</w:t>
      </w:r>
      <w:r w:rsidRPr="006A3608">
        <w:t xml:space="preserve"> dengan cara membuat struktur tulang buatan atau </w:t>
      </w:r>
      <w:r w:rsidRPr="00B47D76">
        <w:rPr>
          <w:i/>
        </w:rPr>
        <w:t>scaffold</w:t>
      </w:r>
      <w:r w:rsidRPr="006A3608">
        <w:t xml:space="preserve"> tulang yang dapat menginisiasi pertumbuhan jaringan tulang dan membantu menopang tul</w:t>
      </w:r>
      <w:r w:rsidR="00735775">
        <w:t>ang agar dapat berfungsi</w:t>
      </w:r>
      <w:r w:rsidRPr="006A3608">
        <w:t xml:space="preserve">. Proses pembuatan </w:t>
      </w:r>
      <w:r w:rsidRPr="008B612C">
        <w:rPr>
          <w:i/>
        </w:rPr>
        <w:t>scaffold</w:t>
      </w:r>
      <w:r w:rsidRPr="006A3608">
        <w:t xml:space="preserve"> tulang dapat dilakukan dengan proses sintering metalurgi serbuk dengan bahan magnesium. Tujuan dari penelitian yaitu untuk mengetahui pengaruh variasi temperatur sintering dan tekanan kompaksi pada proses </w:t>
      </w:r>
      <w:r w:rsidR="00F243DD">
        <w:t xml:space="preserve">sintering </w:t>
      </w:r>
      <w:r w:rsidRPr="006A3608">
        <w:t>metalurgi serbuk</w:t>
      </w:r>
      <w:r w:rsidR="0051319B">
        <w:t xml:space="preserve"> magnesium</w:t>
      </w:r>
      <w:r w:rsidRPr="006A3608">
        <w:t xml:space="preserve"> terhadap kekuatan tekan dan struktur mikro </w:t>
      </w:r>
      <w:r w:rsidR="00F243DD">
        <w:t xml:space="preserve">yang </w:t>
      </w:r>
      <w:r w:rsidRPr="006A3608">
        <w:t xml:space="preserve">diaplikasikan untuk </w:t>
      </w:r>
      <w:r w:rsidRPr="008B612C">
        <w:rPr>
          <w:i/>
        </w:rPr>
        <w:t>scaffold</w:t>
      </w:r>
      <w:r w:rsidRPr="006A3608">
        <w:t xml:space="preserve"> tulang mampu terdegradasi. Metode penelitian yang digunakan yaitu metode eksperimental dengan melakukan pembuatan dan pengujian material magnesium metalurgi serbuk. Proses metalurgi serbuk dilakukan dengan variasi temperatur sin</w:t>
      </w:r>
      <w:r w:rsidR="00B47D76">
        <w:t>tering 350°C, 400°C dan 450°</w:t>
      </w:r>
      <w:r w:rsidRPr="006A3608">
        <w:t>C dan variasi tekanan kompaksi y</w:t>
      </w:r>
      <w:r w:rsidR="0060737F">
        <w:t>aitu 231 MPa, 309 MPa dan 386 MP</w:t>
      </w:r>
      <w:r w:rsidRPr="006A3608">
        <w:t>a. Hasil penelitian menunjukan bahwa variasi temperatur sintering dan te</w:t>
      </w:r>
      <w:r w:rsidR="0051319B">
        <w:t xml:space="preserve">kanan kompaksi berpengaruh terhadap </w:t>
      </w:r>
      <w:r w:rsidRPr="006A3608">
        <w:t>kekuatan tekan dan struktur mikro. Temperatur sintering 450</w:t>
      </w:r>
      <w:r w:rsidR="00B47D76">
        <w:t>°</w:t>
      </w:r>
      <w:r w:rsidRPr="006A3608">
        <w:t>C</w:t>
      </w:r>
      <w:r w:rsidR="00735775">
        <w:t xml:space="preserve"> dan tekanan kompaksi </w:t>
      </w:r>
      <w:r w:rsidR="00735775">
        <w:rPr>
          <w:bCs/>
        </w:rPr>
        <w:t>386</w:t>
      </w:r>
      <w:r w:rsidR="00735775" w:rsidRPr="00DB55B8">
        <w:rPr>
          <w:bCs/>
        </w:rPr>
        <w:t xml:space="preserve"> </w:t>
      </w:r>
      <w:r w:rsidR="0060737F">
        <w:t>MP</w:t>
      </w:r>
      <w:r w:rsidRPr="006A3608">
        <w:t>a menghasilkan tingkat persentase pori paling rendah yaitu 15,14% dan kekuatan tekan paling tinggi yaitu 80,26 MPa.</w:t>
      </w:r>
    </w:p>
    <w:p w:rsidR="00A24AFB" w:rsidRPr="002A6DEB" w:rsidRDefault="00A24AFB" w:rsidP="00735775">
      <w:pPr>
        <w:pStyle w:val="TTPSectionHeading"/>
        <w:spacing w:before="0" w:after="240"/>
        <w:ind w:left="1276" w:hanging="1276"/>
        <w:rPr>
          <w:lang w:val="id-ID"/>
        </w:rPr>
      </w:pPr>
      <w:r w:rsidRPr="002A6DEB">
        <w:rPr>
          <w:iCs/>
          <w:lang w:val="id-ID"/>
        </w:rPr>
        <w:t>Kata kunci</w:t>
      </w:r>
      <w:r w:rsidRPr="002A6DEB">
        <w:rPr>
          <w:lang w:val="id-ID"/>
        </w:rPr>
        <w:t xml:space="preserve">: </w:t>
      </w:r>
      <w:r w:rsidR="00735775" w:rsidRPr="00735775">
        <w:rPr>
          <w:b w:val="0"/>
          <w:lang w:val="id-ID"/>
        </w:rPr>
        <w:t>Sintering Metalurgi Serbuk</w:t>
      </w:r>
      <w:r w:rsidR="0051319B">
        <w:rPr>
          <w:b w:val="0"/>
          <w:lang w:val="id-ID"/>
        </w:rPr>
        <w:t xml:space="preserve"> </w:t>
      </w:r>
      <w:r w:rsidR="004F4391">
        <w:rPr>
          <w:b w:val="0"/>
          <w:lang w:val="id-ID"/>
        </w:rPr>
        <w:t>Magnesium</w:t>
      </w:r>
      <w:r w:rsidR="006577AC" w:rsidRPr="002A6DEB">
        <w:rPr>
          <w:b w:val="0"/>
        </w:rPr>
        <w:t xml:space="preserve">, </w:t>
      </w:r>
      <w:r w:rsidR="00735775">
        <w:rPr>
          <w:b w:val="0"/>
        </w:rPr>
        <w:t>Temperatur, Tekanan</w:t>
      </w:r>
      <w:r w:rsidR="006577AC" w:rsidRPr="002A6DEB">
        <w:rPr>
          <w:b w:val="0"/>
        </w:rPr>
        <w:t xml:space="preserve">, </w:t>
      </w:r>
      <w:r w:rsidR="00735775">
        <w:rPr>
          <w:b w:val="0"/>
          <w:lang w:val="id-ID"/>
        </w:rPr>
        <w:t>Struktur Mikro</w:t>
      </w:r>
      <w:r w:rsidRPr="002A6DEB">
        <w:rPr>
          <w:b w:val="0"/>
        </w:rPr>
        <w:t xml:space="preserve">, </w:t>
      </w:r>
      <w:r w:rsidR="00735775">
        <w:rPr>
          <w:b w:val="0"/>
        </w:rPr>
        <w:t>Kekuatan Tekan</w:t>
      </w:r>
      <w:r w:rsidRPr="002A6DEB">
        <w:rPr>
          <w:b w:val="0"/>
        </w:rPr>
        <w:t>.</w:t>
      </w:r>
    </w:p>
    <w:p w:rsidR="00AF1052" w:rsidRDefault="001B03A8" w:rsidP="00AF1052">
      <w:pPr>
        <w:pStyle w:val="TTPParagraphothers"/>
        <w:ind w:firstLine="0"/>
        <w:rPr>
          <w:sz w:val="22"/>
          <w:szCs w:val="22"/>
        </w:rPr>
      </w:pPr>
      <w:r>
        <w:rPr>
          <w:noProof/>
          <w:sz w:val="22"/>
          <w:szCs w:val="22"/>
          <w:lang w:val="id-ID" w:eastAsia="id-ID"/>
        </w:rPr>
        <w:pict>
          <v:line id="Straight Connector 2" o:spid="_x0000_s1026" style="position:absolute;left:0;text-align:left;z-index:251659264;visibility:visible;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w:r>
    </w:p>
    <w:p w:rsidR="00AF1052" w:rsidRDefault="00AF1052" w:rsidP="00AF1052">
      <w:pPr>
        <w:pStyle w:val="TTPParagraphothers"/>
        <w:ind w:firstLine="0"/>
        <w:rPr>
          <w:sz w:val="22"/>
          <w:szCs w:val="22"/>
        </w:rPr>
      </w:pPr>
    </w:p>
    <w:p w:rsidR="00F243DD" w:rsidRPr="0066001F" w:rsidRDefault="00F243DD" w:rsidP="00AF1052">
      <w:pPr>
        <w:pStyle w:val="TTPParagraphothers"/>
        <w:ind w:firstLine="0"/>
        <w:rPr>
          <w:sz w:val="22"/>
          <w:szCs w:val="22"/>
        </w:rPr>
        <w:sectPr w:rsidR="00F243DD" w:rsidRPr="0066001F" w:rsidSect="00D93872">
          <w:headerReference w:type="even" r:id="rId9"/>
          <w:footerReference w:type="default" r:id="rId10"/>
          <w:headerReference w:type="first" r:id="rId11"/>
          <w:pgSz w:w="11907" w:h="16840" w:code="9"/>
          <w:pgMar w:top="1440" w:right="1440" w:bottom="1440" w:left="1440" w:header="709" w:footer="709" w:gutter="0"/>
          <w:cols w:space="709"/>
          <w:noEndnote/>
          <w:titlePg/>
          <w:docGrid w:linePitch="272"/>
        </w:sectPr>
      </w:pPr>
    </w:p>
    <w:p w:rsidR="00F30817" w:rsidRPr="002A6DEB" w:rsidRDefault="00EA14ED" w:rsidP="00C23314">
      <w:pPr>
        <w:pStyle w:val="TTPSectionHeading"/>
        <w:spacing w:before="0"/>
        <w:rPr>
          <w:b w:val="0"/>
        </w:rPr>
      </w:pPr>
      <w:r w:rsidRPr="002A6DEB">
        <w:lastRenderedPageBreak/>
        <w:t>Pendahuluan</w:t>
      </w:r>
    </w:p>
    <w:p w:rsidR="006B252E" w:rsidRDefault="00006082" w:rsidP="004B70A3">
      <w:pPr>
        <w:pStyle w:val="TTPParagraphothers"/>
        <w:ind w:firstLine="567"/>
      </w:pPr>
      <w:r>
        <w:rPr>
          <w:lang w:val="id-ID"/>
        </w:rPr>
        <w:t xml:space="preserve">Kerusakan pada tulang </w:t>
      </w:r>
      <w:r w:rsidR="00D51186">
        <w:rPr>
          <w:lang w:val="id-ID"/>
        </w:rPr>
        <w:t xml:space="preserve">manusia selain disebabkan oleh </w:t>
      </w:r>
      <w:r>
        <w:rPr>
          <w:lang w:val="id-ID"/>
        </w:rPr>
        <w:t xml:space="preserve">penyakit </w:t>
      </w:r>
      <w:r w:rsidR="00AE5FA6">
        <w:rPr>
          <w:lang w:val="id-ID"/>
        </w:rPr>
        <w:t xml:space="preserve">juga dapat </w:t>
      </w:r>
      <w:r>
        <w:rPr>
          <w:lang w:val="id-ID"/>
        </w:rPr>
        <w:t xml:space="preserve">disebabkan oleh </w:t>
      </w:r>
      <w:r w:rsidR="00AE5FA6">
        <w:rPr>
          <w:lang w:val="id-ID"/>
        </w:rPr>
        <w:t xml:space="preserve">faktor lain seperti </w:t>
      </w:r>
      <w:r>
        <w:rPr>
          <w:lang w:val="id-ID"/>
        </w:rPr>
        <w:t>kecelakaan</w:t>
      </w:r>
      <w:r w:rsidR="004D6C7A">
        <w:rPr>
          <w:lang w:val="id-ID"/>
        </w:rPr>
        <w:t xml:space="preserve"> atau cidera lainnya</w:t>
      </w:r>
      <w:r>
        <w:rPr>
          <w:lang w:val="id-ID"/>
        </w:rPr>
        <w:t>. Indonesia me</w:t>
      </w:r>
      <w:r w:rsidR="00AE5FA6">
        <w:rPr>
          <w:lang w:val="id-ID"/>
        </w:rPr>
        <w:t>rupakan</w:t>
      </w:r>
      <w:r>
        <w:rPr>
          <w:lang w:val="id-ID"/>
        </w:rPr>
        <w:t xml:space="preserve"> salah </w:t>
      </w:r>
      <w:r w:rsidR="00AE5FA6">
        <w:rPr>
          <w:lang w:val="id-ID"/>
        </w:rPr>
        <w:t xml:space="preserve">satu </w:t>
      </w:r>
      <w:r>
        <w:rPr>
          <w:lang w:val="id-ID"/>
        </w:rPr>
        <w:t>ne</w:t>
      </w:r>
      <w:r w:rsidR="004D6C7A">
        <w:rPr>
          <w:lang w:val="id-ID"/>
        </w:rPr>
        <w:t>gara yang tingkat kecelakaan ter</w:t>
      </w:r>
      <w:r w:rsidR="00FD13D6">
        <w:rPr>
          <w:lang w:val="id-ID"/>
        </w:rPr>
        <w:t>tinggi di</w:t>
      </w:r>
      <w:r>
        <w:rPr>
          <w:lang w:val="id-ID"/>
        </w:rPr>
        <w:t>dunia. P</w:t>
      </w:r>
      <w:r w:rsidR="006B252E">
        <w:t>enyembuhan</w:t>
      </w:r>
      <w:r>
        <w:t xml:space="preserve"> tulang yang rusak </w:t>
      </w:r>
      <w:r w:rsidR="004D6C7A">
        <w:rPr>
          <w:lang w:val="id-ID"/>
        </w:rPr>
        <w:t>dapat dilakukan</w:t>
      </w:r>
      <w:r w:rsidR="006B252E">
        <w:t xml:space="preserve"> dengan cara </w:t>
      </w:r>
      <w:r>
        <w:rPr>
          <w:lang w:val="id-ID"/>
        </w:rPr>
        <w:t xml:space="preserve">membuat </w:t>
      </w:r>
      <w:r w:rsidR="006B252E">
        <w:t>st</w:t>
      </w:r>
      <w:r w:rsidR="0024313B">
        <w:t xml:space="preserve">ruktur tulang buatan atau </w:t>
      </w:r>
      <w:r w:rsidR="0024313B" w:rsidRPr="00FD13D6">
        <w:rPr>
          <w:i/>
        </w:rPr>
        <w:t>s</w:t>
      </w:r>
      <w:r w:rsidR="0024313B" w:rsidRPr="00FD13D6">
        <w:rPr>
          <w:i/>
          <w:lang w:val="id-ID"/>
        </w:rPr>
        <w:t>caffold</w:t>
      </w:r>
      <w:r w:rsidR="006B252E">
        <w:t xml:space="preserve"> tulang yang dapat menginisiasi pertumbuhan jaringan tulang dan membantu menopang tulang agar dapat berfungsi kembali.</w:t>
      </w:r>
    </w:p>
    <w:p w:rsidR="00077ADA" w:rsidRDefault="00FD13D6" w:rsidP="004B70A3">
      <w:pPr>
        <w:pStyle w:val="TTPParagraphothers"/>
        <w:ind w:firstLine="567"/>
      </w:pPr>
      <w:r>
        <w:t>Alat kesehatan d</w:t>
      </w:r>
      <w:r w:rsidR="006B252E">
        <w:t xml:space="preserve">i Indonesia hanya 6%  yang </w:t>
      </w:r>
      <w:r>
        <w:t xml:space="preserve">merupakan </w:t>
      </w:r>
      <w:r w:rsidR="006B252E">
        <w:t xml:space="preserve">produk lokal. </w:t>
      </w:r>
      <w:r w:rsidR="004F4391">
        <w:t>Nilai</w:t>
      </w:r>
      <w:r w:rsidR="006B252E">
        <w:t xml:space="preserve"> </w:t>
      </w:r>
      <w:r w:rsidR="004F4391">
        <w:t xml:space="preserve">tersebut merupakan nilai </w:t>
      </w:r>
      <w:r w:rsidR="006B252E">
        <w:t xml:space="preserve">yang </w:t>
      </w:r>
      <w:r>
        <w:t xml:space="preserve">cukup </w:t>
      </w:r>
      <w:r w:rsidR="006B252E">
        <w:t xml:space="preserve">rendah </w:t>
      </w:r>
      <w:r>
        <w:t>jika di</w:t>
      </w:r>
      <w:r w:rsidR="006B252E">
        <w:t>banding</w:t>
      </w:r>
      <w:r>
        <w:t>kan</w:t>
      </w:r>
      <w:r w:rsidR="006B252E">
        <w:t xml:space="preserve"> dengan </w:t>
      </w:r>
      <w:r w:rsidR="004D6C7A">
        <w:t xml:space="preserve">negara lain seperti </w:t>
      </w:r>
      <w:r w:rsidR="006B252E">
        <w:t>Malaysia (10%), Vietnam (13%) dan Thailand (33%)</w:t>
      </w:r>
      <w:r w:rsidR="00751595">
        <w:t>.</w:t>
      </w:r>
      <w:r>
        <w:t xml:space="preserve"> </w:t>
      </w:r>
      <w:r w:rsidR="00077ADA" w:rsidRPr="00077ADA">
        <w:t xml:space="preserve">Tingginya kebutuhan akan material </w:t>
      </w:r>
      <w:r w:rsidR="004F4391">
        <w:t xml:space="preserve">khususnya </w:t>
      </w:r>
      <w:r w:rsidR="004F4391" w:rsidRPr="00FD13D6">
        <w:rPr>
          <w:i/>
        </w:rPr>
        <w:t>s</w:t>
      </w:r>
      <w:r w:rsidR="004F4391" w:rsidRPr="00FD13D6">
        <w:rPr>
          <w:i/>
          <w:lang w:val="id-ID"/>
        </w:rPr>
        <w:t>caffold</w:t>
      </w:r>
      <w:r w:rsidR="004F4391">
        <w:t xml:space="preserve"> tulang </w:t>
      </w:r>
      <w:r w:rsidR="00077ADA" w:rsidRPr="00077ADA">
        <w:t xml:space="preserve">yang digunakan </w:t>
      </w:r>
      <w:r w:rsidR="007369FD">
        <w:t>sebagai</w:t>
      </w:r>
      <w:r w:rsidR="00077ADA" w:rsidRPr="00077ADA">
        <w:t xml:space="preserve"> </w:t>
      </w:r>
      <w:r w:rsidR="000118DA">
        <w:t xml:space="preserve">alat kesehatan </w:t>
      </w:r>
      <w:r w:rsidR="007369FD">
        <w:t xml:space="preserve">untuk </w:t>
      </w:r>
      <w:r w:rsidR="00077ADA" w:rsidRPr="00077ADA">
        <w:t xml:space="preserve">mengganti kerusakan atau kegagalan fungsi organ tubuh menjadi dorongan berkembangnya ilmu dan teknologi </w:t>
      </w:r>
      <w:r w:rsidR="007369FD">
        <w:t xml:space="preserve">khsusunya pada bidang </w:t>
      </w:r>
      <w:r w:rsidR="00077ADA" w:rsidRPr="00077ADA">
        <w:t>biomateria</w:t>
      </w:r>
      <w:r w:rsidR="00077ADA">
        <w:rPr>
          <w:sz w:val="23"/>
          <w:szCs w:val="23"/>
        </w:rPr>
        <w:t xml:space="preserve">l. </w:t>
      </w:r>
    </w:p>
    <w:p w:rsidR="006B252E" w:rsidRDefault="00751595" w:rsidP="00077ADA">
      <w:pPr>
        <w:pStyle w:val="TTPParagraphothers"/>
        <w:ind w:firstLine="567"/>
      </w:pPr>
      <w:r>
        <w:t xml:space="preserve">Menurut Rizal, </w:t>
      </w:r>
      <w:r w:rsidR="006B252E">
        <w:t>dkk</w:t>
      </w:r>
      <w:r>
        <w:t>. 2019</w:t>
      </w:r>
      <w:r w:rsidR="006B252E">
        <w:t xml:space="preserve"> </w:t>
      </w:r>
      <w:r w:rsidR="006B252E" w:rsidRPr="00FD13D6">
        <w:rPr>
          <w:i/>
        </w:rPr>
        <w:t>Biodegradable</w:t>
      </w:r>
      <w:r w:rsidR="006B252E">
        <w:t xml:space="preserve"> material merupa</w:t>
      </w:r>
      <w:r w:rsidR="007924D0">
        <w:t>ka</w:t>
      </w:r>
      <w:r w:rsidR="006B252E">
        <w:t xml:space="preserve">n material yang dapat terurai sendiri secara alami (biologis) di alam. Penelitian terkait biomaterial terus dilakukan hingga saat ini. Hal ini bertujuan untuk menciptakan inovasi terbaru terkait biomaterial logam sebagai material </w:t>
      </w:r>
      <w:r w:rsidR="006B252E" w:rsidRPr="00FD13D6">
        <w:rPr>
          <w:i/>
        </w:rPr>
        <w:t>scaffold</w:t>
      </w:r>
      <w:r w:rsidR="006B252E">
        <w:t xml:space="preserve"> yang memiliki spesifikasi lebih baik dan tidak berbahaya bagi tubuh manusia. Magnesium berpori sangat cocok digunakan sebagai bahan </w:t>
      </w:r>
      <w:r w:rsidR="006B252E" w:rsidRPr="00FD13D6">
        <w:rPr>
          <w:i/>
        </w:rPr>
        <w:t>scaffold</w:t>
      </w:r>
      <w:r w:rsidR="006B252E">
        <w:t xml:space="preserve">  struktur tulang </w:t>
      </w:r>
      <w:r w:rsidR="006B252E" w:rsidRPr="00FD13D6">
        <w:rPr>
          <w:i/>
        </w:rPr>
        <w:t>cancellous</w:t>
      </w:r>
      <w:r w:rsidR="006B252E">
        <w:t>, pori yang terbentuk pada matrial akan membantu merangsang pertumbuhan tulang</w:t>
      </w:r>
      <w:r w:rsidR="00FD13D6">
        <w:t xml:space="preserve"> </w:t>
      </w:r>
      <w:r w:rsidR="00ED5EB3">
        <w:fldChar w:fldCharType="begin" w:fldLock="1"/>
      </w:r>
      <w:r>
        <w:instrText>ADDIN CSL_CITATION {"citationItems":[{"id":"ITEM-1","itemData":{"abstract":"… A Novel Open- Porous Magnesium Scaffold with Controllable Microstructures and Properties for Bone … Hydroxyapatite Induction by a Gel-Derived Titania on a Titanium Substrate …","author":[{"dropping-particle":"","family":"Saputra","given":"Rizal Adi","non-dropping-particle":"","parse-names":false,"suffix":""},{"dropping-particle":"","family":"Burhanudin","given":"Yanuar","non-dropping-particle":"","parse-names":false,"suffix":""},{"dropping-particle":"","family":"Wicaksono","given":"Mahruri Arif","non-dropping-particle":"","parse-names":false,"suffix":""},{"dropping-particle":"","family":"Nur","given":"Hadi","non-dropping-particle":"","parse-names":false,"suffix":""},{"dropping-particle":"","family":"Sukmana","given":"Irza","non-dropping-particle":"","parse-names":false,"suffix":""}],"container-title":"Jurnal Material","id":"ITEM-1","issue":"2","issued":{"date-parts":[["2019"]]},"page":"23-29","title":"Pengaruh Ukuran Serbuk Terhadap Sifat Mekanik Dan Fisik Magnesium Berpori Hasil Kompaksi- Sintering Untuk Aplikasi Scaffold Tulang Mampu Pengaruh Ukuran Serbuk Terhadap Sifat Mekanik Dan Fisik Magnesium Berpori Hasil Kompaksi- Sintering Untuk Aplikasi Sca","type":"article-journal","volume":"10"},"uris":["http://www.mendeley.com/documents/?uuid=c6f0f7c2-c629-4442-a821-370613aa8b82"]}],"mendeley":{"formattedCitation":"[1]","plainTextFormattedCitation":"[1]","previouslyFormattedCitation":"[1]"},"properties":{"noteIndex":0},"schema":"https://github.com/citation-style-language/schema/raw/master/csl-citation.json"}</w:instrText>
      </w:r>
      <w:r w:rsidR="00ED5EB3">
        <w:fldChar w:fldCharType="separate"/>
      </w:r>
      <w:r w:rsidRPr="00751595">
        <w:rPr>
          <w:noProof/>
        </w:rPr>
        <w:t>[1]</w:t>
      </w:r>
      <w:r w:rsidR="00ED5EB3">
        <w:fldChar w:fldCharType="end"/>
      </w:r>
      <w:r w:rsidR="006B252E">
        <w:t xml:space="preserve">. </w:t>
      </w:r>
    </w:p>
    <w:p w:rsidR="006B252E" w:rsidRDefault="006B252E" w:rsidP="006B252E">
      <w:pPr>
        <w:pStyle w:val="TTPParagraphothers"/>
        <w:ind w:firstLine="567"/>
      </w:pPr>
      <w:r>
        <w:t xml:space="preserve">Menurut Aprillia Erryani dkk, (2019). Logam berbasis Magnesium (Mg) menarik perhatian untuk aplikasi </w:t>
      </w:r>
      <w:r w:rsidRPr="00FD13D6">
        <w:rPr>
          <w:i/>
        </w:rPr>
        <w:t>orthopedic device</w:t>
      </w:r>
      <w:r>
        <w:t xml:space="preserve"> terutama </w:t>
      </w:r>
      <w:r w:rsidRPr="00FD13D6">
        <w:rPr>
          <w:i/>
        </w:rPr>
        <w:t>scaffold</w:t>
      </w:r>
      <w:r>
        <w:t xml:space="preserve"> tulang karena memiliki sifat mekanik yang hampir sama dengan tulang manusia, serta sifat mampu luruh (</w:t>
      </w:r>
      <w:r w:rsidRPr="00FD13D6">
        <w:rPr>
          <w:i/>
        </w:rPr>
        <w:t>biodegradable</w:t>
      </w:r>
      <w:r>
        <w:t>) yang membuatnya lebih unggul jika dibandingan dengan bahan titanium atau baja tahan karat (</w:t>
      </w:r>
      <w:r w:rsidRPr="004F4391">
        <w:rPr>
          <w:i/>
        </w:rPr>
        <w:t>stainless</w:t>
      </w:r>
      <w:r>
        <w:t xml:space="preserve"> </w:t>
      </w:r>
      <w:r w:rsidRPr="004F4391">
        <w:rPr>
          <w:i/>
        </w:rPr>
        <w:lastRenderedPageBreak/>
        <w:t>steel</w:t>
      </w:r>
      <w:r>
        <w:t xml:space="preserve">) yang bersifat kaku dan tidak mampu luruh sehingga berpotensi menimbulkan terjadinya </w:t>
      </w:r>
      <w:r w:rsidRPr="004F4391">
        <w:rPr>
          <w:i/>
        </w:rPr>
        <w:t>stress shielding</w:t>
      </w:r>
      <w:r>
        <w:t xml:space="preserve">. Dari segi proses, paduan magnesium yang dilakukan melalui proses metalurgi serbuk memiliki sifat mekanik yang lebih baik dibandingkan dengan proses </w:t>
      </w:r>
      <w:r w:rsidRPr="004F4391">
        <w:rPr>
          <w:i/>
        </w:rPr>
        <w:t>casting</w:t>
      </w:r>
      <w:r>
        <w:t>. Hal ini dikarenakan proses kompaksi sintering yang membuat matrial lebih padat, dan akurasi komposisi bahan lebih terkontrol</w:t>
      </w:r>
      <w:r w:rsidR="00FD13D6">
        <w:t xml:space="preserve"> </w:t>
      </w:r>
      <w:r w:rsidR="00ED5EB3">
        <w:fldChar w:fldCharType="begin" w:fldLock="1"/>
      </w:r>
      <w:r w:rsidR="00511393">
        <w:instrText>ADDIN CSL_CITATION {"citationItems":[{"id":"ITEM-1","itemData":{"DOI":"10.14203/metalurgi.v34i2.469","ISSN":"0126-3188","abstract":"… Untuk hasil uji kompresi secara lengkap dapat dilihat pada Gambar 10. Hasil yang berbeda didapatkan pada paduan Mg-Zn-SrCO3 … Jika kita melihat kembali hasil olah data XRD pada Gambar 6 sampai Gambar 8, terlihat adanya perbedaan fasa yang terbentuk seiring dengan …","author":[{"dropping-particle":"","family":"Erryani","given":"Aprilia","non-dropping-particle":"","parse-names":false,"suffix":""}],"container-title":"Metalurgi","id":"ITEM-1","issue":"2","issued":{"date-parts":[["2019"]]},"page":"61","title":"Sifat Mekanik Dan Struktur Mikro Paduan Magnesium Berpori Dengan Variasi Komposisi Agen Pengembang Dan Temperatur Sinter Untuk Aplikasi Implan Mampu Luruh","type":"article-journal","volume":"34"},"uris":["http://www.mendeley.com/documents/?uuid=8cf84fec-49f1-4d37-827b-c75a6bf361ad"]}],"mendeley":{"formattedCitation":"[2]","plainTextFormattedCitation":"[2]","previouslyFormattedCitation":"[2]"},"properties":{"noteIndex":0},"schema":"https://github.com/citation-style-language/schema/raw/master/csl-citation.json"}</w:instrText>
      </w:r>
      <w:r w:rsidR="00ED5EB3">
        <w:fldChar w:fldCharType="separate"/>
      </w:r>
      <w:r w:rsidR="00751595" w:rsidRPr="00751595">
        <w:rPr>
          <w:noProof/>
        </w:rPr>
        <w:t>[2]</w:t>
      </w:r>
      <w:r w:rsidR="00ED5EB3">
        <w:fldChar w:fldCharType="end"/>
      </w:r>
      <w:r>
        <w:t xml:space="preserve">. </w:t>
      </w:r>
    </w:p>
    <w:p w:rsidR="00FD13D6" w:rsidRDefault="00FD13D6" w:rsidP="006B252E">
      <w:pPr>
        <w:pStyle w:val="TTPParagraphothers"/>
        <w:ind w:firstLine="567"/>
      </w:pPr>
      <w:r>
        <w:t xml:space="preserve">Pada penelitian dilakukan proses pembuatan dan pengujian material magnesium </w:t>
      </w:r>
      <w:r w:rsidRPr="00FD13D6">
        <w:t xml:space="preserve">berpori </w:t>
      </w:r>
      <w:r>
        <w:t>yang nantinya di</w:t>
      </w:r>
      <w:r w:rsidR="004F4391">
        <w:t>gunakan</w:t>
      </w:r>
      <w:r>
        <w:t xml:space="preserve"> </w:t>
      </w:r>
      <w:r w:rsidRPr="00FD13D6">
        <w:t xml:space="preserve">untuk </w:t>
      </w:r>
      <w:r w:rsidRPr="00FD13D6">
        <w:rPr>
          <w:i/>
        </w:rPr>
        <w:t>scaffold</w:t>
      </w:r>
      <w:r w:rsidRPr="00FD13D6">
        <w:t xml:space="preserve"> tulang mampu terdegradasi</w:t>
      </w:r>
      <w:r>
        <w:t xml:space="preserve">. Tujuan dari penelitian yaitu untuk mengetahui </w:t>
      </w:r>
      <w:r w:rsidRPr="00FD13D6">
        <w:t xml:space="preserve">pengaruh variasi temperatur sintering </w:t>
      </w:r>
      <w:r>
        <w:t xml:space="preserve">dan tekanan kompaksi </w:t>
      </w:r>
      <w:r w:rsidRPr="00FD13D6">
        <w:t>pada proses metalurgi serbuk terhadap ke</w:t>
      </w:r>
      <w:r>
        <w:t xml:space="preserve">kuatan tekan dan struktur mikro. </w:t>
      </w:r>
    </w:p>
    <w:p w:rsidR="00233600" w:rsidRDefault="00233600" w:rsidP="00233600">
      <w:pPr>
        <w:pStyle w:val="TTPSectionHeading"/>
        <w:spacing w:before="240"/>
      </w:pPr>
      <w:r>
        <w:t xml:space="preserve">Tinjauan </w:t>
      </w:r>
      <w:r w:rsidR="008E6B41">
        <w:rPr>
          <w:lang w:val="id-ID"/>
        </w:rPr>
        <w:t>Pustaka</w:t>
      </w:r>
    </w:p>
    <w:p w:rsidR="00511393" w:rsidRDefault="00511393" w:rsidP="00511393">
      <w:pPr>
        <w:pStyle w:val="TTPParagraphothers"/>
        <w:ind w:firstLine="567"/>
      </w:pPr>
      <w:r>
        <w:t>Metalurgi serbuk adalah suatu proses manufaktur barang komersil dari bahan logam dengan bahan awal berbentuk serbuk. Prinsip dari proses ini ialah dengan memadatkan bahan yang telah terbentuk serbuk dengan cara menekan (</w:t>
      </w:r>
      <w:r w:rsidRPr="00FD13D6">
        <w:rPr>
          <w:i/>
        </w:rPr>
        <w:t>compaction</w:t>
      </w:r>
      <w:r>
        <w:t xml:space="preserve">) kemudian dipanaskan dibawah titik lelehnya yang disebut proses sintering. Pembuatan produk dengan menggunakan serbuk merupakan suatu langkah yang tepat untuk menghasilkan produk dengan bentuk yang komplek, memiliki kualitas atau tingkat ketelitian yang bagus dan lebih ekonomis. Adapun proses metalurgi serbuk terdapat beberapa tahapan seperti, </w:t>
      </w:r>
      <w:r w:rsidRPr="004F4391">
        <w:rPr>
          <w:i/>
        </w:rPr>
        <w:t>mixing</w:t>
      </w:r>
      <w:r>
        <w:t>, kompaksi dan sintering</w:t>
      </w:r>
      <w:r w:rsidR="00FD13D6">
        <w:t xml:space="preserve"> </w:t>
      </w:r>
      <w:r w:rsidR="00ED5EB3">
        <w:fldChar w:fldCharType="begin" w:fldLock="1"/>
      </w:r>
      <w:r>
        <w:instrText>ADDIN CSL_CITATION {"citationItems":[{"id":"ITEM-1","itemData":{"author":[{"dropping-particle":"","family":"Safrudin","given":"Mohammad","non-dropping-particle":"","parse-names":false,"suffix":""},{"dropping-particle":"","family":"Widyastuti","given":"","non-dropping-particle":"","parse-names":false,"suffix":""}],"container-title":"Jurnal Teknik Pomits","id":"ITEM-1","issue":"1","issued":{"date-parts":[["2018"]]},"page":"44-49","title":"The Effect of Sintering Temperature Variations and Sintering Time on the Density and Hardness of the Mmc W-Cu Through Powder Metallurgy Process","type":"article-journal","volume":"3"},"uris":["http://www.mendeley.com/documents/?uuid=fc35c46f-ca6b-4bb4-9ed6-bee0ba08beae"]}],"mendeley":{"formattedCitation":"[3]","plainTextFormattedCitation":"[3]","previouslyFormattedCitation":"[3]"},"properties":{"noteIndex":0},"schema":"https://github.com/citation-style-language/schema/raw/master/csl-citation.json"}</w:instrText>
      </w:r>
      <w:r w:rsidR="00ED5EB3">
        <w:fldChar w:fldCharType="separate"/>
      </w:r>
      <w:r w:rsidRPr="00511393">
        <w:rPr>
          <w:noProof/>
        </w:rPr>
        <w:t>[3]</w:t>
      </w:r>
      <w:r w:rsidR="00ED5EB3">
        <w:fldChar w:fldCharType="end"/>
      </w:r>
      <w:r>
        <w:t>.</w:t>
      </w:r>
    </w:p>
    <w:p w:rsidR="00511393" w:rsidRDefault="00511393" w:rsidP="00511393">
      <w:pPr>
        <w:pStyle w:val="TTPParagraphothers"/>
        <w:ind w:firstLine="567"/>
      </w:pPr>
      <w:r>
        <w:t>Sintering adalah proses yang digunakan untuk membentuk ikatan antar partikel setelah proses kompaksi. Proses ini dilakukan dengan memberikan panas sampel pada temperatur di bawah titik lelehnya sehingga serbuk-serbuk logam akan memadu karena adanya mekanisme transformsi massa akibat difusi dari aton-atom dipermukaan serbuk. Dengan adanya difusi ini maka akan terbentuk ikatan-ikatan partikel yang halus antar permukaan serbuk yang dapat meningkatkan kekuatan material.</w:t>
      </w:r>
    </w:p>
    <w:p w:rsidR="00511393" w:rsidRDefault="00511393" w:rsidP="00511393">
      <w:pPr>
        <w:pStyle w:val="TTPParagraphothers"/>
        <w:ind w:firstLine="567"/>
      </w:pPr>
      <w:r>
        <w:lastRenderedPageBreak/>
        <w:t>Pengujian yang digunakan dalam pene</w:t>
      </w:r>
      <w:r w:rsidR="001957DE">
        <w:t>litian ini meliputi pengujian s</w:t>
      </w:r>
      <w:r>
        <w:t xml:space="preserve">tuktur mikro dan pengujian tekan adapun pengujian struktur mikro dilakukan untuk mengetahui isi unsur kandungan yang terdapat didalam spesimen magnesium yang akan diuji dengan menghaluskan spesimen uji agar dapat mudah terlihat kandungan didalam benda uji tersebut, sedangkan pengujian  tekan dilakukan untuk mengetahui kekuatan spesimen magnesium berpori hasil penelitian, hasil kekuatan uji tekan harus melebihi kekuatan tulang. Tulang </w:t>
      </w:r>
      <w:r w:rsidRPr="00B43044">
        <w:rPr>
          <w:i/>
        </w:rPr>
        <w:t>cortical bone</w:t>
      </w:r>
      <w:r>
        <w:t xml:space="preserve"> memiliki kekuatan uji tekan 130-180 </w:t>
      </w:r>
      <w:r w:rsidR="00C7087A">
        <w:t>Mp</w:t>
      </w:r>
      <w:r>
        <w:t xml:space="preserve">a, sedangkan </w:t>
      </w:r>
      <w:r w:rsidRPr="00FD13D6">
        <w:rPr>
          <w:i/>
        </w:rPr>
        <w:t>cancelous bone</w:t>
      </w:r>
      <w:r w:rsidR="00C7087A">
        <w:t xml:space="preserve"> 4-12 MP</w:t>
      </w:r>
      <w:r>
        <w:t xml:space="preserve">a </w:t>
      </w:r>
      <w:r w:rsidR="00ED5EB3">
        <w:fldChar w:fldCharType="begin" w:fldLock="1"/>
      </w:r>
      <w:r>
        <w:instrText>ADDIN CSL_CITATION {"citationItems":[{"id":"ITEM-1","itemData":{"author":[{"dropping-particle":"","family":"SAMIR SANI ABDULMALIK","given":"","non-dropping-particle":"","parse-names":false,"suffix":""},{"dropping-particle":"","family":"A","given":"","non-dropping-particle":"","parse-names":false,"suffix":""}],"id":"ITEM-1","issue":"January","issued":{"date-parts":[["2012"]]},"page":"1-94","title":"EFFECT OF ZINC ADDITION ON THE PROPERTIES OF MAGNESIUM ALLOYS","type":"article-journal"},"uris":["http://www.mendeley.com/documents/?uuid=016e4b3b-5ff8-401e-a521-0a50572119d9"]}],"mendeley":{"formattedCitation":"[4]","plainTextFormattedCitation":"[4]","previouslyFormattedCitation":"[4]"},"properties":{"noteIndex":0},"schema":"https://github.com/citation-style-language/schema/raw/master/csl-citation.json"}</w:instrText>
      </w:r>
      <w:r w:rsidR="00ED5EB3">
        <w:fldChar w:fldCharType="separate"/>
      </w:r>
      <w:r w:rsidRPr="00511393">
        <w:rPr>
          <w:noProof/>
        </w:rPr>
        <w:t>[4]</w:t>
      </w:r>
      <w:r w:rsidR="00ED5EB3">
        <w:fldChar w:fldCharType="end"/>
      </w:r>
      <w:r>
        <w:t>.</w:t>
      </w:r>
    </w:p>
    <w:p w:rsidR="00511393" w:rsidRDefault="00511393" w:rsidP="00511393">
      <w:pPr>
        <w:pStyle w:val="TTPParagraphothers"/>
        <w:ind w:firstLine="709"/>
      </w:pPr>
      <w:r>
        <w:t>Pada pe</w:t>
      </w:r>
      <w:r w:rsidR="00322638">
        <w:t>nelitian yang dilakukan Hamid, 2016 dengan</w:t>
      </w:r>
      <w:r>
        <w:t xml:space="preserve"> </w:t>
      </w:r>
      <w:r w:rsidRPr="00EA3A3E">
        <w:t>variasi temperatur yang digunakan 200ºC, 250ºC dan 300ºC, kesimpulan yang didapat adalah semakin meningkatnya temperatur dan lamanya waktu holding sintering, paduan Mg-Fe-Zn mempunyai sifat mekanik dan sifat morfologi yang semakin baik</w:t>
      </w:r>
      <w:r w:rsidR="00B43044" w:rsidRPr="00EA3A3E">
        <w:t xml:space="preserve"> </w:t>
      </w:r>
      <w:r w:rsidR="00ED5EB3" w:rsidRPr="00EA3A3E">
        <w:fldChar w:fldCharType="begin" w:fldLock="1"/>
      </w:r>
      <w:r w:rsidR="00322638" w:rsidRPr="00EA3A3E">
        <w:instrText>ADDIN CSL_CITATION {"citationItems":[{"id":"ITEM-1","itemData":{"ISBN":"0813228298","ISSN":"2252-634X","PMID":"30067154","abstract":"Penyakit kardiovaskular (PKV) adalah penyakit yang disebabkan oleh gangguan fungsi jantung dan pembuluh darah. PKV dapat dicegah terutama pada kelompok berisiko, diantaranya dengan penilaian risiko menggunakan Framingham Risk Score (FRS). Tujuan penelitian ini adalah untuk menganalisis risiko PKV dan korelasinya dengan Ankle Brachial Index (ABI) dan obesitas pada peserta Prolanis di Kota Bima. Pengambilan data menggunakan instrumen Framingham Risk Score, pengukuran tekanan darah, indeks massa tubuh, lingkar lengan, dan lingkar perut. Jenis penelitian ini adalah penelitian deskriptif analitik dengan rancangan cross-sectional. Pemilihan sampel ditentukan secara consecutive sampling pada semua responden yang aktif mengikuti kegiatan Prolanis dan memenuhi kriteria inklusi di lima Puskesmas di Kota Bima tahun 2018. Analisis data dengan uji parametrik Spearman. Hasil penelitian menunjukkan kelompok risiko tinggi 33 orang (40,7%), risiko sedang 28 orang (34,6%), dan risiko rendah 20 orang (24,7%). Tidak terdapat korelasi antara risiko PKV dengan ABI dan obesitas. Temuan lain dalam penelitian ini mengindikasikan adanya korelasi antara risiko PKV dengan subvariabel obesitas sentral walaupun tidak ditemukan adanya signifikansi (p&gt; 0,05). Pada penelitian selanjutnya, disarankan jumlah sampel yang lebih banyak di komunitas dengan proporsi laki-laki dan perempuan yang berimbang. Kata Kunci: ABI, Framingham, kardiovaskuler, obesitas Abstract Risk of Cardiovascular Disease at Chronic Disease Management Program Participants in The Community Health Centers of Bima Town: The Correlation with Ankle Brachial Index and Obesity. Cardiovascular disease (CVD) is a disease caused by impaired heart and blood vessel function, which can be prevented, especially in risk groups that can be risk assessed using the Framingham Risk Score (FRS). The purpose of this study was to analyze the risk of CVD and the correlation with ABI and obesity in Prolanis participants at Bima City. Data collection was done by using the instrument FRS and measuring systolic blood pressure, body mass index, arm circumference, and waist circumference. This study was a descriptive-analytic study with a cross-sectional design. The sample selection was determined by consecutive sampling for all respondents who actively participated in Prolanis activities and fulfilled the inclusion criteria in five community health center at Bima City in 2018. Data analyzed with Spearmen parametric test. The results of research…","author":[{"dropping-particle":"","family":"Nurrohman","given":"Hamid","non-dropping-particle":"","parse-names":false,"suffix":""}],"container-title":"International Journal of Hypertension","id":"ITEM-1","issue":"1","issued":{"date-parts":[["2017"]]},"page":"1-107","title":"Pengaruh Variasi Temperatur Dan Waktu Holding Sintering Terhadap Sifat Mekanik Dan Morfologi Biodegradable Material Mg-Fe-Zn Dengan Metode Metalurgi Serbuk Untuk Aplikasi Orthopedic Devices","type":"article-journal","volume":"1"},"uris":["http://www.mendeley.com/documents/?uuid=c2830307-ce3e-4082-9a76-fe41daea01a7"]}],"mendeley":{"formattedCitation":"[5]","plainTextFormattedCitation":"[5]","previouslyFormattedCitation":"[5]"},"properties":{"noteIndex":0},"schema":"https://github.com/citation-style-language/schema/raw/master/csl-citation.json"}</w:instrText>
      </w:r>
      <w:r w:rsidR="00ED5EB3" w:rsidRPr="00EA3A3E">
        <w:fldChar w:fldCharType="separate"/>
      </w:r>
      <w:r w:rsidRPr="00EA3A3E">
        <w:rPr>
          <w:noProof/>
        </w:rPr>
        <w:t>[5]</w:t>
      </w:r>
      <w:r w:rsidR="00ED5EB3" w:rsidRPr="00EA3A3E">
        <w:fldChar w:fldCharType="end"/>
      </w:r>
      <w:r w:rsidRPr="00EA3A3E">
        <w:t>.</w:t>
      </w:r>
    </w:p>
    <w:p w:rsidR="00322638" w:rsidRDefault="00322638" w:rsidP="00322638">
      <w:pPr>
        <w:pStyle w:val="TTPParagraphothers"/>
        <w:ind w:firstLine="709"/>
        <w:rPr>
          <w:lang w:val="id-ID"/>
        </w:rPr>
      </w:pPr>
      <w:r>
        <w:t xml:space="preserve">Dalam penelitian yang dilakukan oleh Rizal, dkk. </w:t>
      </w:r>
      <w:r w:rsidRPr="00322638">
        <w:t>diujikan pengaruh ukuran serbuk magnesium yang dipadukan dengan potongan titanium sebagai material penyangga (</w:t>
      </w:r>
      <w:r w:rsidRPr="00C7087A">
        <w:rPr>
          <w:i/>
        </w:rPr>
        <w:t>titanium pieces space holder</w:t>
      </w:r>
      <w:r w:rsidRPr="00322638">
        <w:t xml:space="preserve">) terhadap kualitas produk magnesium berpori untuk aplikasi skafol tulang. Titanium (Ti) </w:t>
      </w:r>
      <w:r w:rsidRPr="00C7087A">
        <w:rPr>
          <w:i/>
        </w:rPr>
        <w:t>pieces</w:t>
      </w:r>
      <w:r w:rsidRPr="00322638">
        <w:t xml:space="preserve"> disiapkan dalam ukuran campur (random) dan berasal dari potongan kawat titanium murni (pure titanium wire) untuk dicampurkan dengan serbuk Magnesium (Mg) dengan ukuran 100, 200, dan 250µm. Campuran bahan tersebut kemudian dikompaksi dan dipanaskan (sintering) menggunakan alat squeeze casting untuk mendapatkan bahan dasar magnesium. Struktur Mg berpori dihasilkan melalui proses degradasi potongan Ti dalam larutan asam hidroflourik (</w:t>
      </w:r>
      <w:r w:rsidRPr="00C7087A">
        <w:rPr>
          <w:i/>
        </w:rPr>
        <w:t>hydrofluoric acid, HF</w:t>
      </w:r>
      <w:r w:rsidRPr="00322638">
        <w:t xml:space="preserve">) sehingga terbentuk sruktur pori pada bahan Mg. Hasil pengujian fisika dan mekanika menunjukkan semakin besar ukuran serbuk Mg, akan menghasilkan sebaran potongan Ti yang semakin merata sehingga </w:t>
      </w:r>
      <w:r w:rsidRPr="00322638">
        <w:lastRenderedPageBreak/>
        <w:t>meningkatkan kualitaskualitas produk magnesium berpori</w:t>
      </w:r>
      <w:r w:rsidR="00C7087A">
        <w:t xml:space="preserve"> </w:t>
      </w:r>
      <w:r w:rsidR="00ED5EB3">
        <w:fldChar w:fldCharType="begin" w:fldLock="1"/>
      </w:r>
      <w:r>
        <w:instrText>ADDIN CSL_CITATION {"citationItems":[{"id":"ITEM-1","itemData":{"abstract":"… A Novel Open- Porous Magnesium Scaffold with Controllable Microstructures and Properties for Bone … Hydroxyapatite Induction by a Gel-Derived Titania on a Titanium Substrate …","author":[{"dropping-particle":"","family":"Saputra","given":"Rizal Adi","non-dropping-particle":"","parse-names":false,"suffix":""},{"dropping-particle":"","family":"Burhanudin","given":"Yanuar","non-dropping-particle":"","parse-names":false,"suffix":""},{"dropping-particle":"","family":"Wicaksono","given":"Mahruri Arif","non-dropping-particle":"","parse-names":false,"suffix":""},{"dropping-particle":"","family":"Nur","given":"Hadi","non-dropping-particle":"","parse-names":false,"suffix":""},{"dropping-particle":"","family":"Sukmana","given":"Irza","non-dropping-particle":"","parse-names":false,"suffix":""}],"container-title":"Jurnal Material","id":"ITEM-1","issue":"2","issued":{"date-parts":[["2019"]]},"page":"23-29","title":"Pengaruh Ukuran Serbuk Terhadap Sifat Mekanik Dan Fisik Magnesium Berpori Hasil Kompaksi- Sintering Untuk Aplikasi Scaffold Tulang Mampu Pengaruh Ukuran Serbuk Terhadap Sifat Mekanik Dan Fisik Magnesium Berpori Hasil Kompaksi- Sintering Untuk Aplikasi Sca","type":"article-journal","volume":"10"},"uris":["http://www.mendeley.com/documents/?uuid=c6f0f7c2-c629-4442-a821-370613aa8b82"]}],"mendeley":{"formattedCitation":"[1]","plainTextFormattedCitation":"[1]","previouslyFormattedCitation":"[1]"},"properties":{"noteIndex":0},"schema":"https://github.com/citation-style-language/schema/raw/master/csl-citation.json"}</w:instrText>
      </w:r>
      <w:r w:rsidR="00ED5EB3">
        <w:fldChar w:fldCharType="separate"/>
      </w:r>
      <w:r w:rsidRPr="00322638">
        <w:rPr>
          <w:noProof/>
        </w:rPr>
        <w:t>[1]</w:t>
      </w:r>
      <w:r w:rsidR="00ED5EB3">
        <w:fldChar w:fldCharType="end"/>
      </w:r>
      <w:r w:rsidRPr="00322638">
        <w:t>.</w:t>
      </w:r>
    </w:p>
    <w:p w:rsidR="00322638" w:rsidRDefault="00322638" w:rsidP="00322638">
      <w:pPr>
        <w:pStyle w:val="TTPParagraphothers"/>
        <w:ind w:firstLine="709"/>
      </w:pPr>
      <w:r>
        <w:t xml:space="preserve">Penelitian yang dilakukan oleh Safrudin, M., dan Widyastuti, disimpulkan bahwa Semakin tinggi temperatur sintering </w:t>
      </w:r>
      <w:r w:rsidRPr="00EA3A3E">
        <w:t>atau semakin lama</w:t>
      </w:r>
      <w:r w:rsidR="00C7087A" w:rsidRPr="00EA3A3E">
        <w:t xml:space="preserve"> </w:t>
      </w:r>
      <w:r w:rsidRPr="00EA3A3E">
        <w:t>waktu tahan yang diberikan maka akan diperoleh nilai sinter density yang semakin tinggi, porositas yang semakin kecil, kekerasan yang semakin tinggi, kekuatan tekan yang semakin tinggi dan modulus</w:t>
      </w:r>
      <w:r w:rsidR="001957DE" w:rsidRPr="00EA3A3E">
        <w:rPr>
          <w:lang w:val="id-ID"/>
        </w:rPr>
        <w:t xml:space="preserve"> </w:t>
      </w:r>
      <w:r w:rsidR="001957DE" w:rsidRPr="00EA3A3E">
        <w:t>elastisitas yang semaki</w:t>
      </w:r>
      <w:r w:rsidR="001957DE" w:rsidRPr="00EA3A3E">
        <w:rPr>
          <w:lang w:val="id-ID"/>
        </w:rPr>
        <w:t xml:space="preserve"> </w:t>
      </w:r>
      <w:r w:rsidRPr="00EA3A3E">
        <w:t>tinggi.Variasi temperatur dan waktu tahan sintering yang menghasilkan nilai densitas dan kekerasan yang optimal adalah 900°C-2 jam</w:t>
      </w:r>
      <w:r w:rsidR="00C7087A" w:rsidRPr="00EA3A3E">
        <w:t xml:space="preserve"> </w:t>
      </w:r>
      <w:r w:rsidR="00ED5EB3" w:rsidRPr="00EA3A3E">
        <w:fldChar w:fldCharType="begin" w:fldLock="1"/>
      </w:r>
      <w:r w:rsidR="000804DF" w:rsidRPr="00EA3A3E">
        <w:instrText>ADDIN CSL_CITATION {"citationItems":[{"id":"ITEM-1","itemData":{"author":[{"dropping-particle":"","family":"Safrudin","given":"Mohammad","non-dropping-particle":"","parse-names":false,"suffix":""},{"dropping-particle":"","family":"Widyastuti","given":"","non-dropping-particle":"","parse-names":false,"suffix":""}],"container-title":"Jurnal Teknik Pomits","id":"ITEM-1","issue":"1","issued":{"date-parts":[["2018"]]},"page":"44-49","title":"The Effect of Sintering Temperature Variations and Sintering Time on the Density and Hardness of the Mmc W-Cu Through Powder Metallurgy Process","type":"article-journal","volume":"3"},"uris":["http://www.mendeley.com/documents/?uuid=fc35c46f-ca6b-4bb4-9ed6-bee0ba08beae"]}],"mendeley":{"formattedCitation":"[3]","plainTextFormattedCitation":"[3]","previouslyFormattedCitation":"[3]"},"properties":{"noteIndex":0},"schema":"https://github.com/citation-style-language/schema/raw/master/csl-citation.json"}</w:instrText>
      </w:r>
      <w:r w:rsidR="00ED5EB3" w:rsidRPr="00EA3A3E">
        <w:fldChar w:fldCharType="separate"/>
      </w:r>
      <w:r w:rsidRPr="00EA3A3E">
        <w:rPr>
          <w:noProof/>
        </w:rPr>
        <w:t>[3]</w:t>
      </w:r>
      <w:r w:rsidR="00ED5EB3" w:rsidRPr="00EA3A3E">
        <w:fldChar w:fldCharType="end"/>
      </w:r>
      <w:r w:rsidRPr="00EA3A3E">
        <w:t>.</w:t>
      </w:r>
    </w:p>
    <w:p w:rsidR="00322638" w:rsidRDefault="00BF31D6" w:rsidP="00BF31D6">
      <w:pPr>
        <w:pStyle w:val="TTPParagraphothers"/>
        <w:ind w:firstLine="709"/>
      </w:pPr>
      <w:r>
        <w:t xml:space="preserve">Dalam penelitian </w:t>
      </w:r>
      <w:r w:rsidR="00C7087A">
        <w:t>Herlina</w:t>
      </w:r>
      <w:r>
        <w:t>, U., dkk.  pengaruh variasi temperatur sinter terhadap sifat fisik dan mekanik magnesium AZ31 diujikan. Proses sintering dilakukan pada berbagai temperatur yang dipilih, yaitu: 400°C, 450°C, 500°C, dan 550°C. Suhu sinter</w:t>
      </w:r>
      <w:r w:rsidR="00C7087A">
        <w:t xml:space="preserve"> </w:t>
      </w:r>
      <w:r>
        <w:t>400°C menghasilkan densitas tertinggi sebesar 1,82 gram/cm</w:t>
      </w:r>
      <w:r w:rsidRPr="00BF31D6">
        <w:rPr>
          <w:vertAlign w:val="superscript"/>
        </w:rPr>
        <w:t>3</w:t>
      </w:r>
      <w:r>
        <w:t xml:space="preserve"> dan porositas terendah 0,54%, sedangkan suhu sinter 550°C menghasilkan densitas terendah sebesar 1,70</w:t>
      </w:r>
      <w:r w:rsidR="00C7087A">
        <w:t xml:space="preserve"> </w:t>
      </w:r>
      <w:r>
        <w:t>gram/cm</w:t>
      </w:r>
      <w:r w:rsidRPr="00BF31D6">
        <w:rPr>
          <w:vertAlign w:val="superscript"/>
        </w:rPr>
        <w:t>3</w:t>
      </w:r>
      <w:r>
        <w:t xml:space="preserve"> dan porositas tertinggi 6,88%. Selanjutnya, angka kekerasan tertinggi adalah 41,49 kgf pada suhu sinter 400°C dan terendah 21,74 kgf pada suhu sinter 550°C. Angka densitas dan kekerasan suhu 400°C tersebut disebabkan oleh ukuran butir paduan</w:t>
      </w:r>
      <w:r w:rsidR="00B43044">
        <w:t xml:space="preserve"> </w:t>
      </w:r>
      <w:r>
        <w:t xml:space="preserve">magnesium yang relatif besar dan memanjang dengan kerapatan yang baik dibandingkan yang lain, sesuai pengamatan gambar struktur mikro sample. Berdasarkan hasil uji </w:t>
      </w:r>
      <w:r w:rsidR="00B43044" w:rsidRPr="00B43044">
        <w:rPr>
          <w:i/>
        </w:rPr>
        <w:t>Scanning Electron Microscopy</w:t>
      </w:r>
      <w:r w:rsidR="00B43044">
        <w:t xml:space="preserve"> </w:t>
      </w:r>
      <w:r>
        <w:t xml:space="preserve">(SEM) dan </w:t>
      </w:r>
      <w:r w:rsidR="00B43044" w:rsidRPr="00B43044">
        <w:rPr>
          <w:i/>
        </w:rPr>
        <w:t xml:space="preserve">Energy Dispersive </w:t>
      </w:r>
      <w:r w:rsidRPr="00B43044">
        <w:rPr>
          <w:i/>
        </w:rPr>
        <w:t>X</w:t>
      </w:r>
      <w:r w:rsidR="00B43044" w:rsidRPr="00B43044">
        <w:rPr>
          <w:i/>
        </w:rPr>
        <w:t>-</w:t>
      </w:r>
      <w:r w:rsidRPr="00B43044">
        <w:rPr>
          <w:i/>
        </w:rPr>
        <w:t xml:space="preserve">Ray </w:t>
      </w:r>
      <w:r w:rsidR="00B43044" w:rsidRPr="00B43044">
        <w:rPr>
          <w:i/>
        </w:rPr>
        <w:t>Analysis</w:t>
      </w:r>
      <w:r w:rsidR="00B43044">
        <w:t xml:space="preserve"> </w:t>
      </w:r>
      <w:r>
        <w:t>(EDX), ditemukan adanya retakan pr</w:t>
      </w:r>
      <w:r w:rsidR="000804DF">
        <w:t>oduk hasil sinter pada suhu 550°</w:t>
      </w:r>
      <w:r>
        <w:t>C. Hasil penelitian ini</w:t>
      </w:r>
      <w:r w:rsidR="00B43044">
        <w:t xml:space="preserve"> </w:t>
      </w:r>
      <w:r>
        <w:t>menunjukkan semakin tinggi suhu sinter, semakin kecil dan banyak pori yang terbentuk sehingga menyebabkan nilai densitas dan kekerasan yang menurun. Berdasarkan hasil yang didapat, selanjutnya dapat dilakukan pengujian menggunakan alat cor tekan (</w:t>
      </w:r>
      <w:r w:rsidRPr="00B43044">
        <w:rPr>
          <w:i/>
        </w:rPr>
        <w:t>squeeze casting</w:t>
      </w:r>
      <w:r>
        <w:t>) untuk meningkatkan kualitas sifat mekanik dan fisik produk pengecoran magnesium AZ31</w:t>
      </w:r>
      <w:r w:rsidR="00ED5EB3">
        <w:fldChar w:fldCharType="begin" w:fldLock="1"/>
      </w:r>
      <w:r w:rsidR="00513F59">
        <w:instrText>ADDIN CSL_CITATION {"citationItems":[{"id":"ITEM-1","itemData":{"DOI":"10.18196/jmpm.v5i2.12461","ISSN":"2580-3271","abstract":"Dalam penelitian ini, pengaruh variasi temperatur sinter terhadap sifat fisik dan mekanik magnesium AZ31 diujikan. Bahan dasar dibentuk dari geram bubut Magnesium AZ31 dan dikompaksi sebelum akhirnya dilakukan proses sintering dengan alat tube furnace. Proses sintering dilakukan pada berbagai temperatur yang dipilih, yaitu: 400oC, 450oC, 500oC, dan 550oC. Suhu sinter 400oC menghasilkan densitas tertinggi sebesar 1,82 gram/cm3 dan porositas terendah 0,54%, sedangkan suhu sinter 550oC menghasilkan densitas terendah sebesar 1,70 gram/cm3 dan porositas tertinggi 6,88%. Selanjutnya, angka kekerasan tertinggi adalah 41,49 kgf pada suhu sinter 400oC dan terendah 21,74 pada suhu sinter 550oC. Angka densitas dan kekerasan suhu 400oC tersebut disebabkan oleh ukuran butir paduan magnesium yang relatif besar dan memanjang dengan kerapatan yang baik dibandingkan yang lain, sesuai pengamatan gambar struktur mikro sample. Berdasarkan hasil uji scanning electron microscopy (SEM) dan energy dispersive        X-Ray analysis (EDX), ditemukan adanya retakan produk hasil sinter pada suhu 550oC. Hasil penelitian ini menunjukkan semakin tinggi suhu sinter, semakin kecil dan banyak pori yang terbentuk sehingga menyebabkan nilai densitas dan kekerasan yang menurun. Berdasarkan hasil yang didapat, selanjutnya dapat dilakukan pengujian menggunakan alat cor tekan (squeeze casting) untuk meningkatkan kualitas sifat mekanik dan fisik produk pengecoran magnesium AZ31.","author":[{"dropping-particle":"","family":"Herlina","given":"Ulin","non-dropping-particle":"","parse-names":false,"suffix":""},{"dropping-particle":"","family":"Yusuf","given":"Muhammad","non-dropping-particle":"","parse-names":false,"suffix":""},{"dropping-particle":"","family":"Sukmana","given":"Irza","non-dropping-particle":"","parse-names":false,"suffix":""}],"container-title":"JMPM (Jurnal Material dan Proses Manufaktur)","id":"ITEM-1","issue":"2","issued":{"date-parts":[["2022"]]},"page":"147-155","title":"Pengaruh Variasi Temperatur Sinter Terhadap Kualitas Produksi Magnesium AZ31 Dengan Tube Furnace","type":"article-journal","volume":"5"},"uris":["http://www.mendeley.com/documents/?uuid=922d069d-9ea5-448f-a0a3-79a45ff17a59"]}],"mendeley":{"formattedCitation":"[6]","plainTextFormattedCitation":"[6]","previouslyFormattedCitation":"[6]"},"properties":{"noteIndex":0},"schema":"https://github.com/citation-style-language/schema/raw/master/csl-citation.json"}</w:instrText>
      </w:r>
      <w:r w:rsidR="00ED5EB3">
        <w:fldChar w:fldCharType="separate"/>
      </w:r>
      <w:r w:rsidR="000804DF" w:rsidRPr="000804DF">
        <w:rPr>
          <w:noProof/>
        </w:rPr>
        <w:t>[6]</w:t>
      </w:r>
      <w:r w:rsidR="00ED5EB3">
        <w:fldChar w:fldCharType="end"/>
      </w:r>
      <w:r>
        <w:t>.</w:t>
      </w:r>
    </w:p>
    <w:p w:rsidR="004B70A3" w:rsidRDefault="004B70A3" w:rsidP="00BF31D6">
      <w:pPr>
        <w:pStyle w:val="TTPParagraphothers"/>
        <w:ind w:firstLine="709"/>
      </w:pPr>
    </w:p>
    <w:p w:rsidR="00F30817" w:rsidRPr="002A6DEB" w:rsidRDefault="00036594" w:rsidP="0040261E">
      <w:pPr>
        <w:pStyle w:val="TTPSectionHeading"/>
        <w:spacing w:before="240"/>
      </w:pPr>
      <w:r w:rsidRPr="002A6DEB">
        <w:rPr>
          <w:lang w:val="id-ID"/>
        </w:rPr>
        <w:t>Metode Penelitian</w:t>
      </w:r>
    </w:p>
    <w:p w:rsidR="001C66D5" w:rsidRPr="007361A9" w:rsidRDefault="001C66D5" w:rsidP="006B4DAF">
      <w:pPr>
        <w:pStyle w:val="TTPParagraphothers"/>
        <w:ind w:firstLine="567"/>
        <w:rPr>
          <w:bCs/>
        </w:rPr>
      </w:pPr>
      <w:r w:rsidRPr="007361A9">
        <w:rPr>
          <w:bCs/>
        </w:rPr>
        <w:t xml:space="preserve">Metode </w:t>
      </w:r>
      <w:r w:rsidR="00223F00">
        <w:rPr>
          <w:bCs/>
        </w:rPr>
        <w:t xml:space="preserve">penelitian yang digunakan yaitu </w:t>
      </w:r>
      <w:r w:rsidRPr="007361A9">
        <w:rPr>
          <w:bCs/>
        </w:rPr>
        <w:t xml:space="preserve">metode eksperimental dengan melakukan pembuatan dan pengujian material magnesium metalurgi </w:t>
      </w:r>
      <w:r w:rsidR="007361A9" w:rsidRPr="007361A9">
        <w:rPr>
          <w:bCs/>
        </w:rPr>
        <w:t>serbuk</w:t>
      </w:r>
      <w:r w:rsidRPr="007361A9">
        <w:rPr>
          <w:bCs/>
        </w:rPr>
        <w:t xml:space="preserve">. </w:t>
      </w:r>
    </w:p>
    <w:p w:rsidR="00C25A82" w:rsidRPr="00DB55B8" w:rsidRDefault="001C66D5" w:rsidP="006B4DAF">
      <w:pPr>
        <w:pStyle w:val="TTPParagraphothers"/>
        <w:ind w:firstLine="567"/>
        <w:rPr>
          <w:bCs/>
        </w:rPr>
      </w:pPr>
      <w:r w:rsidRPr="00C25A82">
        <w:rPr>
          <w:bCs/>
        </w:rPr>
        <w:t>Penelitian ini dilakukan dilaboratorium Teknik Mesin Universitas Muhammadiya</w:t>
      </w:r>
      <w:r w:rsidR="00CE5060">
        <w:rPr>
          <w:bCs/>
        </w:rPr>
        <w:t>h metro. Mulai dari persiapan alat dan bahan serta</w:t>
      </w:r>
      <w:r w:rsidRPr="00C25A82">
        <w:rPr>
          <w:bCs/>
        </w:rPr>
        <w:t xml:space="preserve"> pembuatan</w:t>
      </w:r>
      <w:r w:rsidR="007361A9" w:rsidRPr="00C25A82">
        <w:rPr>
          <w:bCs/>
        </w:rPr>
        <w:t xml:space="preserve"> </w:t>
      </w:r>
      <w:r w:rsidR="00CE5060">
        <w:rPr>
          <w:bCs/>
        </w:rPr>
        <w:t>spesimen</w:t>
      </w:r>
      <w:r w:rsidR="007361A9" w:rsidRPr="00C25A82">
        <w:rPr>
          <w:bCs/>
        </w:rPr>
        <w:t xml:space="preserve"> </w:t>
      </w:r>
      <w:r w:rsidR="00CE5060">
        <w:rPr>
          <w:bCs/>
        </w:rPr>
        <w:t xml:space="preserve">uji </w:t>
      </w:r>
      <w:r w:rsidR="007361A9" w:rsidRPr="00C25A82">
        <w:rPr>
          <w:bCs/>
        </w:rPr>
        <w:t xml:space="preserve">magnesium </w:t>
      </w:r>
      <w:r w:rsidR="00CE5060">
        <w:rPr>
          <w:bCs/>
        </w:rPr>
        <w:t xml:space="preserve">dengan metode </w:t>
      </w:r>
      <w:r w:rsidR="007361A9" w:rsidRPr="00C25A82">
        <w:rPr>
          <w:bCs/>
        </w:rPr>
        <w:t>metalurgi serbuk</w:t>
      </w:r>
      <w:r w:rsidRPr="00C25A82">
        <w:rPr>
          <w:bCs/>
        </w:rPr>
        <w:t xml:space="preserve">. Pengujian </w:t>
      </w:r>
      <w:r w:rsidR="00757B53">
        <w:rPr>
          <w:bCs/>
        </w:rPr>
        <w:t xml:space="preserve">kekuatan tekan dan srtuktur mikro </w:t>
      </w:r>
      <w:r w:rsidR="007361A9" w:rsidRPr="00C25A82">
        <w:rPr>
          <w:bCs/>
        </w:rPr>
        <w:t>dilakukan dilaoratorium Teknik Mesin ITERA. Pengujian dilakukan dengan menganalisa</w:t>
      </w:r>
      <w:r w:rsidR="0095042D">
        <w:rPr>
          <w:bCs/>
        </w:rPr>
        <w:t xml:space="preserve"> kekuatan tekan dan struktur mik</w:t>
      </w:r>
      <w:r w:rsidR="007361A9" w:rsidRPr="00C25A82">
        <w:rPr>
          <w:bCs/>
        </w:rPr>
        <w:t>ro material magnesium hasil metalurgi serbuk. Proses metalurgi serbuk dilakukan dengan variasi temperatur sintering 350</w:t>
      </w:r>
      <w:r w:rsidR="007361A9" w:rsidRPr="00C25A82">
        <w:rPr>
          <w:bCs/>
          <w:vertAlign w:val="superscript"/>
        </w:rPr>
        <w:t>o</w:t>
      </w:r>
      <w:r w:rsidR="007361A9" w:rsidRPr="00C25A82">
        <w:rPr>
          <w:bCs/>
        </w:rPr>
        <w:t>C, 400</w:t>
      </w:r>
      <w:r w:rsidR="007361A9" w:rsidRPr="00C25A82">
        <w:rPr>
          <w:bCs/>
          <w:vertAlign w:val="superscript"/>
        </w:rPr>
        <w:t>o</w:t>
      </w:r>
      <w:r w:rsidR="007361A9" w:rsidRPr="00C25A82">
        <w:rPr>
          <w:bCs/>
        </w:rPr>
        <w:t>C dan 450</w:t>
      </w:r>
      <w:r w:rsidR="007361A9" w:rsidRPr="00C25A82">
        <w:rPr>
          <w:bCs/>
          <w:vertAlign w:val="superscript"/>
        </w:rPr>
        <w:t>o</w:t>
      </w:r>
      <w:r w:rsidR="007361A9" w:rsidRPr="00C25A82">
        <w:rPr>
          <w:bCs/>
        </w:rPr>
        <w:t>C dan variasi tekanan kompaksi (</w:t>
      </w:r>
      <w:r w:rsidR="006B4DAF">
        <w:rPr>
          <w:bCs/>
        </w:rPr>
        <w:t xml:space="preserve">menggunakan </w:t>
      </w:r>
      <w:r w:rsidR="007361A9" w:rsidRPr="00C25A82">
        <w:rPr>
          <w:bCs/>
        </w:rPr>
        <w:t xml:space="preserve">hidrolik) yaitu </w:t>
      </w:r>
      <w:r w:rsidR="00DB55B8" w:rsidRPr="00DB55B8">
        <w:rPr>
          <w:bCs/>
        </w:rPr>
        <w:t>23</w:t>
      </w:r>
      <w:r w:rsidR="00223F00">
        <w:rPr>
          <w:bCs/>
        </w:rPr>
        <w:t>1</w:t>
      </w:r>
      <w:r w:rsidR="00DB55B8">
        <w:rPr>
          <w:bCs/>
        </w:rPr>
        <w:t xml:space="preserve"> M</w:t>
      </w:r>
      <w:r w:rsidR="00E56DE2">
        <w:rPr>
          <w:bCs/>
        </w:rPr>
        <w:t>P</w:t>
      </w:r>
      <w:r w:rsidR="00DB55B8">
        <w:rPr>
          <w:bCs/>
        </w:rPr>
        <w:t>a</w:t>
      </w:r>
      <w:r w:rsidR="00CE5060">
        <w:rPr>
          <w:bCs/>
        </w:rPr>
        <w:t xml:space="preserve"> atau se</w:t>
      </w:r>
      <w:r w:rsidR="00DB55B8">
        <w:rPr>
          <w:bCs/>
        </w:rPr>
        <w:t>ta</w:t>
      </w:r>
      <w:r w:rsidR="00CE5060">
        <w:rPr>
          <w:bCs/>
        </w:rPr>
        <w:t>ra</w:t>
      </w:r>
      <w:r w:rsidR="00DB55B8">
        <w:rPr>
          <w:bCs/>
        </w:rPr>
        <w:t xml:space="preserve"> dengan </w:t>
      </w:r>
      <w:r w:rsidR="007361A9" w:rsidRPr="00C25A82">
        <w:rPr>
          <w:bCs/>
        </w:rPr>
        <w:t>6 ton</w:t>
      </w:r>
      <w:r w:rsidR="00DB55B8">
        <w:rPr>
          <w:bCs/>
        </w:rPr>
        <w:t xml:space="preserve"> pada</w:t>
      </w:r>
      <w:r w:rsidR="00EE0ADE">
        <w:rPr>
          <w:bCs/>
        </w:rPr>
        <w:t xml:space="preserve"> indikator</w:t>
      </w:r>
      <w:r w:rsidR="00DB55B8">
        <w:rPr>
          <w:bCs/>
        </w:rPr>
        <w:t xml:space="preserve"> </w:t>
      </w:r>
      <w:r w:rsidR="00E56DE2">
        <w:rPr>
          <w:bCs/>
        </w:rPr>
        <w:t xml:space="preserve">penekan </w:t>
      </w:r>
      <w:r w:rsidR="00DB55B8">
        <w:rPr>
          <w:bCs/>
        </w:rPr>
        <w:t>hidrolik</w:t>
      </w:r>
      <w:r w:rsidR="007361A9" w:rsidRPr="00C25A82">
        <w:rPr>
          <w:bCs/>
        </w:rPr>
        <w:t xml:space="preserve">, </w:t>
      </w:r>
      <w:r w:rsidR="00223F00">
        <w:rPr>
          <w:bCs/>
        </w:rPr>
        <w:t>309</w:t>
      </w:r>
      <w:r w:rsidR="00DB55B8">
        <w:rPr>
          <w:bCs/>
        </w:rPr>
        <w:t xml:space="preserve"> M</w:t>
      </w:r>
      <w:r w:rsidR="00E56DE2">
        <w:rPr>
          <w:bCs/>
        </w:rPr>
        <w:t>P</w:t>
      </w:r>
      <w:r w:rsidR="00DB55B8">
        <w:rPr>
          <w:bCs/>
        </w:rPr>
        <w:t xml:space="preserve">a (8 ton) </w:t>
      </w:r>
      <w:r w:rsidR="007361A9" w:rsidRPr="00C25A82">
        <w:rPr>
          <w:bCs/>
        </w:rPr>
        <w:t xml:space="preserve">dan </w:t>
      </w:r>
      <w:r w:rsidR="00223F00">
        <w:rPr>
          <w:bCs/>
        </w:rPr>
        <w:t>386</w:t>
      </w:r>
      <w:r w:rsidR="00DB55B8" w:rsidRPr="00DB55B8">
        <w:rPr>
          <w:bCs/>
        </w:rPr>
        <w:t xml:space="preserve"> </w:t>
      </w:r>
      <w:r w:rsidR="00DB55B8">
        <w:rPr>
          <w:bCs/>
        </w:rPr>
        <w:t>M</w:t>
      </w:r>
      <w:r w:rsidR="00E56DE2">
        <w:rPr>
          <w:bCs/>
        </w:rPr>
        <w:t>P</w:t>
      </w:r>
      <w:r w:rsidR="00DB55B8">
        <w:rPr>
          <w:bCs/>
        </w:rPr>
        <w:t>a (</w:t>
      </w:r>
      <w:r w:rsidR="007361A9" w:rsidRPr="00C25A82">
        <w:rPr>
          <w:bCs/>
        </w:rPr>
        <w:t>10 ton</w:t>
      </w:r>
      <w:r w:rsidR="00DB55B8">
        <w:rPr>
          <w:bCs/>
        </w:rPr>
        <w:t>)</w:t>
      </w:r>
      <w:r w:rsidR="007361A9" w:rsidRPr="00C25A82">
        <w:rPr>
          <w:bCs/>
        </w:rPr>
        <w:t xml:space="preserve">. </w:t>
      </w:r>
    </w:p>
    <w:p w:rsidR="00C25A82" w:rsidRPr="00C25A82" w:rsidRDefault="00C25A82" w:rsidP="006B4DAF">
      <w:pPr>
        <w:pStyle w:val="TTPParagraphothers"/>
        <w:ind w:firstLine="567"/>
        <w:rPr>
          <w:lang w:val="id-ID"/>
        </w:rPr>
      </w:pPr>
      <w:r w:rsidRPr="00C25A82">
        <w:t>Alat metalurg</w:t>
      </w:r>
      <w:r w:rsidR="00C36DEC">
        <w:t>i serbuk merupakan alat yang di</w:t>
      </w:r>
      <w:r w:rsidRPr="00C25A82">
        <w:t xml:space="preserve">pakai untuk melakukan proses </w:t>
      </w:r>
      <w:r w:rsidRPr="00C25A82">
        <w:rPr>
          <w:i/>
        </w:rPr>
        <w:t xml:space="preserve">holding sintering </w:t>
      </w:r>
      <w:r w:rsidRPr="00C25A82">
        <w:t>dan kompaksi, bahan magnesium yang sudah dibuat serbuk kemudia</w:t>
      </w:r>
      <w:r w:rsidR="00E56DE2">
        <w:t>n dimasukkan kedalam</w:t>
      </w:r>
      <w:r w:rsidR="00C67376">
        <w:t xml:space="preserve"> cetakan dan dila</w:t>
      </w:r>
      <w:r w:rsidR="00C67376">
        <w:rPr>
          <w:lang w:val="id-ID"/>
        </w:rPr>
        <w:t>k</w:t>
      </w:r>
      <w:r w:rsidRPr="00C25A82">
        <w:t>ukan proses pemadatan menggunakan tek</w:t>
      </w:r>
      <w:r w:rsidR="00C67376">
        <w:t>anan hidrolik</w:t>
      </w:r>
      <w:r w:rsidRPr="00C25A82">
        <w:t>.</w:t>
      </w:r>
      <w:r w:rsidR="00FE5693">
        <w:rPr>
          <w:lang w:val="id-ID"/>
        </w:rPr>
        <w:t xml:space="preserve"> </w:t>
      </w:r>
    </w:p>
    <w:p w:rsidR="00C25A82" w:rsidRPr="00B83BA8" w:rsidRDefault="00C25A82" w:rsidP="00C25A82">
      <w:pPr>
        <w:rPr>
          <w:rFonts w:ascii="Arial" w:hAnsi="Arial" w:cs="Arial"/>
          <w:b/>
          <w:bCs/>
          <w:lang w:val="id-ID"/>
        </w:rPr>
      </w:pPr>
    </w:p>
    <w:p w:rsidR="00C25A82" w:rsidRPr="00C25A82" w:rsidRDefault="00C25A82" w:rsidP="00C25A82">
      <w:pPr>
        <w:jc w:val="center"/>
        <w:rPr>
          <w:rFonts w:ascii="Arial" w:hAnsi="Arial" w:cs="Arial"/>
          <w:lang w:val="id-ID"/>
        </w:rPr>
      </w:pPr>
      <w:r w:rsidRPr="001D352D">
        <w:rPr>
          <w:rFonts w:ascii="Arial" w:hAnsi="Arial" w:cs="Arial"/>
          <w:noProof/>
          <w:lang w:val="id-ID" w:eastAsia="id-ID"/>
        </w:rPr>
        <w:drawing>
          <wp:inline distT="0" distB="0" distL="0" distR="0" wp14:anchorId="394B4FD4" wp14:editId="194246D8">
            <wp:extent cx="2106778" cy="2602841"/>
            <wp:effectExtent l="0" t="0" r="0" b="0"/>
            <wp:docPr id="11" name="Picture 3" descr="Screenshot_2022-05-24-18-38-03-85_c37d74246d9c81aa0bb824b57eaf7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2-05-24-18-38-03-85_c37d74246d9c81aa0bb824b57eaf7062.jpg"/>
                    <pic:cNvPicPr/>
                  </pic:nvPicPr>
                  <pic:blipFill rotWithShape="1">
                    <a:blip r:embed="rId12" cstate="print">
                      <a:grayscl/>
                    </a:blip>
                    <a:srcRect t="7340"/>
                    <a:stretch/>
                  </pic:blipFill>
                  <pic:spPr bwMode="auto">
                    <a:xfrm>
                      <a:off x="0" y="0"/>
                      <a:ext cx="2119095" cy="2618058"/>
                    </a:xfrm>
                    <a:prstGeom prst="rect">
                      <a:avLst/>
                    </a:prstGeom>
                    <a:ln>
                      <a:noFill/>
                    </a:ln>
                    <a:extLst>
                      <a:ext uri="{53640926-AAD7-44D8-BBD7-CCE9431645EC}">
                        <a14:shadowObscured xmlns:a14="http://schemas.microsoft.com/office/drawing/2010/main"/>
                      </a:ext>
                    </a:extLst>
                  </pic:spPr>
                </pic:pic>
              </a:graphicData>
            </a:graphic>
          </wp:inline>
        </w:drawing>
      </w:r>
    </w:p>
    <w:p w:rsidR="00C25A82" w:rsidRDefault="00C25A82" w:rsidP="00C25A82">
      <w:pPr>
        <w:pStyle w:val="TTPParagraphothers"/>
        <w:ind w:firstLine="0"/>
        <w:jc w:val="center"/>
        <w:rPr>
          <w:sz w:val="20"/>
          <w:szCs w:val="20"/>
          <w:lang w:val="id-ID"/>
        </w:rPr>
      </w:pPr>
      <w:r w:rsidRPr="00C25A82">
        <w:rPr>
          <w:sz w:val="20"/>
          <w:szCs w:val="20"/>
          <w:lang w:val="id-ID"/>
        </w:rPr>
        <w:t xml:space="preserve">Gambar 1. </w:t>
      </w:r>
      <w:r w:rsidR="00FC6E5E">
        <w:rPr>
          <w:sz w:val="20"/>
          <w:szCs w:val="20"/>
          <w:lang w:val="id-ID"/>
        </w:rPr>
        <w:t xml:space="preserve">Alat </w:t>
      </w:r>
      <w:r w:rsidRPr="00C25A82">
        <w:rPr>
          <w:sz w:val="20"/>
          <w:szCs w:val="20"/>
          <w:lang w:val="id-ID"/>
        </w:rPr>
        <w:t>Metalurgi Serbuk</w:t>
      </w:r>
    </w:p>
    <w:p w:rsidR="004F4391" w:rsidRDefault="004F4391" w:rsidP="00C25A82">
      <w:pPr>
        <w:pStyle w:val="TTPParagraphothers"/>
        <w:ind w:firstLine="0"/>
        <w:jc w:val="center"/>
        <w:rPr>
          <w:sz w:val="20"/>
          <w:szCs w:val="20"/>
          <w:lang w:val="id-ID"/>
        </w:rPr>
      </w:pPr>
    </w:p>
    <w:p w:rsidR="004F4391" w:rsidRPr="00C25A82" w:rsidRDefault="004F4391" w:rsidP="00C25A82">
      <w:pPr>
        <w:pStyle w:val="TTPParagraphothers"/>
        <w:ind w:firstLine="0"/>
        <w:jc w:val="center"/>
        <w:rPr>
          <w:sz w:val="20"/>
          <w:szCs w:val="20"/>
          <w:lang w:val="id-ID"/>
        </w:rPr>
      </w:pPr>
    </w:p>
    <w:p w:rsidR="00036594" w:rsidRPr="002A6DEB" w:rsidRDefault="00036594" w:rsidP="0040261E">
      <w:pPr>
        <w:pStyle w:val="TTPSectionHeading"/>
        <w:spacing w:before="240"/>
      </w:pPr>
      <w:r w:rsidRPr="002A6DEB">
        <w:rPr>
          <w:lang w:val="id-ID"/>
        </w:rPr>
        <w:lastRenderedPageBreak/>
        <w:t xml:space="preserve">Hasil </w:t>
      </w:r>
      <w:r w:rsidRPr="0040261E">
        <w:t>dan</w:t>
      </w:r>
      <w:r w:rsidRPr="002A6DEB">
        <w:rPr>
          <w:lang w:val="id-ID"/>
        </w:rPr>
        <w:t xml:space="preserve"> Pembahasan</w:t>
      </w:r>
    </w:p>
    <w:p w:rsidR="00C25A82" w:rsidRDefault="00C36DEC" w:rsidP="00C25A82">
      <w:pPr>
        <w:pStyle w:val="TTPParagraphothers"/>
        <w:spacing w:after="120"/>
        <w:ind w:firstLine="709"/>
      </w:pPr>
      <w:r>
        <w:t>Berdasarkan d</w:t>
      </w:r>
      <w:r w:rsidR="00C25A82" w:rsidRPr="00C25A82">
        <w:t xml:space="preserve">ata hasil uji struktur mikro </w:t>
      </w:r>
      <w:r w:rsidR="00E07C55">
        <w:rPr>
          <w:lang w:val="id-ID"/>
        </w:rPr>
        <w:t xml:space="preserve">mikroskop optik </w:t>
      </w:r>
      <w:r w:rsidR="00C25A82" w:rsidRPr="00C25A82">
        <w:t xml:space="preserve">yang telah dilakukan </w:t>
      </w:r>
      <w:r w:rsidR="00C25A82">
        <w:t>dengan</w:t>
      </w:r>
      <w:r w:rsidR="00C25A82" w:rsidRPr="00C25A82">
        <w:t xml:space="preserve"> variasi temperatur </w:t>
      </w:r>
      <w:r>
        <w:t xml:space="preserve">sintering </w:t>
      </w:r>
      <w:r w:rsidR="00C25A82" w:rsidRPr="00C25A82">
        <w:t>yaitu, 350</w:t>
      </w:r>
      <w:r w:rsidR="00C25A82" w:rsidRPr="00C25A82">
        <w:rPr>
          <w:vertAlign w:val="superscript"/>
        </w:rPr>
        <w:t>o</w:t>
      </w:r>
      <w:r w:rsidR="00C25A82" w:rsidRPr="00C25A82">
        <w:t>C, 400</w:t>
      </w:r>
      <w:r w:rsidR="00C25A82" w:rsidRPr="00C25A82">
        <w:rPr>
          <w:vertAlign w:val="superscript"/>
        </w:rPr>
        <w:t>o</w:t>
      </w:r>
      <w:r w:rsidR="00C25A82" w:rsidRPr="00C25A82">
        <w:t>C, 450</w:t>
      </w:r>
      <w:r w:rsidR="00C25A82" w:rsidRPr="00C25A82">
        <w:rPr>
          <w:vertAlign w:val="superscript"/>
        </w:rPr>
        <w:t>o</w:t>
      </w:r>
      <w:r w:rsidR="00C25A82" w:rsidRPr="00C25A82">
        <w:t xml:space="preserve">C </w:t>
      </w:r>
      <w:r w:rsidR="004F4391">
        <w:t xml:space="preserve">dan </w:t>
      </w:r>
      <w:r w:rsidR="008308DB" w:rsidRPr="001D352D">
        <w:t xml:space="preserve">dilakukan kompaksi dengan tekanan </w:t>
      </w:r>
      <w:r w:rsidR="00223F00">
        <w:rPr>
          <w:lang w:val="id-ID"/>
        </w:rPr>
        <w:t>270</w:t>
      </w:r>
      <w:r w:rsidR="004F4391">
        <w:t xml:space="preserve"> MP</w:t>
      </w:r>
      <w:r w:rsidR="008308DB">
        <w:t xml:space="preserve">a </w:t>
      </w:r>
      <w:r w:rsidR="00C25A82">
        <w:t>dijelaskan pada gambar berikut.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3"/>
        <w:gridCol w:w="1468"/>
        <w:gridCol w:w="1495"/>
      </w:tblGrid>
      <w:tr w:rsidR="00C25A82" w:rsidRPr="00C25A82" w:rsidTr="00C25A82">
        <w:tc>
          <w:tcPr>
            <w:tcW w:w="1482" w:type="dxa"/>
          </w:tcPr>
          <w:p w:rsidR="00C25A82" w:rsidRPr="00C25A82" w:rsidRDefault="006827AC" w:rsidP="00C25A82">
            <w:pPr>
              <w:pStyle w:val="TTPParagraphothers"/>
              <w:ind w:firstLine="0"/>
              <w:rPr>
                <w:rFonts w:ascii="Times New Roman" w:hAnsi="Times New Roman"/>
                <w:sz w:val="20"/>
                <w:szCs w:val="20"/>
              </w:rPr>
            </w:pPr>
            <w:r>
              <w:rPr>
                <w:noProof/>
                <w:lang w:val="id-ID" w:eastAsia="id-ID"/>
              </w:rPr>
              <w:drawing>
                <wp:inline distT="0" distB="0" distL="0" distR="0" wp14:anchorId="1EA4833E" wp14:editId="284BB2E6">
                  <wp:extent cx="855336" cy="691764"/>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864551" cy="699217"/>
                          </a:xfrm>
                          <a:prstGeom prst="rect">
                            <a:avLst/>
                          </a:prstGeom>
                          <a:noFill/>
                          <a:ln w="9525">
                            <a:noFill/>
                            <a:miter lim="800000"/>
                            <a:headEnd/>
                            <a:tailEnd/>
                          </a:ln>
                        </pic:spPr>
                      </pic:pic>
                    </a:graphicData>
                  </a:graphic>
                </wp:inline>
              </w:drawing>
            </w:r>
          </w:p>
          <w:p w:rsidR="00C25A82" w:rsidRPr="00C25A82" w:rsidRDefault="00C25A82" w:rsidP="00C25A82">
            <w:pPr>
              <w:pStyle w:val="TTPParagraphothers"/>
              <w:ind w:firstLine="0"/>
              <w:jc w:val="center"/>
              <w:rPr>
                <w:rFonts w:ascii="Times New Roman" w:hAnsi="Times New Roman"/>
                <w:sz w:val="20"/>
                <w:szCs w:val="20"/>
              </w:rPr>
            </w:pPr>
            <w:r w:rsidRPr="00C25A82">
              <w:rPr>
                <w:rFonts w:ascii="Times New Roman" w:hAnsi="Times New Roman"/>
                <w:sz w:val="20"/>
                <w:szCs w:val="20"/>
              </w:rPr>
              <w:t>350</w:t>
            </w:r>
            <w:r w:rsidRPr="00C25A82">
              <w:rPr>
                <w:rFonts w:ascii="Times New Roman" w:hAnsi="Times New Roman"/>
                <w:sz w:val="20"/>
                <w:szCs w:val="20"/>
                <w:vertAlign w:val="superscript"/>
              </w:rPr>
              <w:t>o</w:t>
            </w:r>
            <w:r w:rsidRPr="00C25A82">
              <w:rPr>
                <w:rFonts w:ascii="Times New Roman" w:hAnsi="Times New Roman"/>
                <w:sz w:val="20"/>
                <w:szCs w:val="20"/>
              </w:rPr>
              <w:t>C</w:t>
            </w:r>
          </w:p>
        </w:tc>
        <w:tc>
          <w:tcPr>
            <w:tcW w:w="1482" w:type="dxa"/>
          </w:tcPr>
          <w:p w:rsidR="00C25A82" w:rsidRPr="00C25A82" w:rsidRDefault="006827AC" w:rsidP="00C25A82">
            <w:pPr>
              <w:pStyle w:val="TTPParagraphothers"/>
              <w:ind w:firstLine="0"/>
              <w:rPr>
                <w:rFonts w:ascii="Times New Roman" w:hAnsi="Times New Roman"/>
                <w:sz w:val="20"/>
                <w:szCs w:val="20"/>
                <w:lang w:val="id-ID"/>
              </w:rPr>
            </w:pPr>
            <w:r>
              <w:rPr>
                <w:noProof/>
                <w:lang w:val="id-ID" w:eastAsia="id-ID"/>
              </w:rPr>
              <w:drawing>
                <wp:inline distT="0" distB="0" distL="0" distR="0" wp14:anchorId="7B1ADF11" wp14:editId="50EC943F">
                  <wp:extent cx="845111" cy="6917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846761" cy="693115"/>
                          </a:xfrm>
                          <a:prstGeom prst="rect">
                            <a:avLst/>
                          </a:prstGeom>
                          <a:noFill/>
                          <a:ln w="9525">
                            <a:noFill/>
                            <a:miter lim="800000"/>
                            <a:headEnd/>
                            <a:tailEnd/>
                          </a:ln>
                        </pic:spPr>
                      </pic:pic>
                    </a:graphicData>
                  </a:graphic>
                </wp:inline>
              </w:drawing>
            </w:r>
          </w:p>
          <w:p w:rsidR="00C25A82" w:rsidRPr="00C25A82" w:rsidRDefault="00C25A82" w:rsidP="00C25A82">
            <w:pPr>
              <w:pStyle w:val="TTPParagraphothers"/>
              <w:ind w:firstLine="0"/>
              <w:jc w:val="center"/>
              <w:rPr>
                <w:rFonts w:ascii="Times New Roman" w:hAnsi="Times New Roman"/>
                <w:sz w:val="20"/>
                <w:szCs w:val="20"/>
                <w:lang w:val="id-ID"/>
              </w:rPr>
            </w:pPr>
            <w:r w:rsidRPr="00C25A82">
              <w:rPr>
                <w:rFonts w:ascii="Times New Roman" w:hAnsi="Times New Roman"/>
                <w:sz w:val="20"/>
                <w:szCs w:val="20"/>
              </w:rPr>
              <w:t>400</w:t>
            </w:r>
            <w:r w:rsidRPr="00C25A82">
              <w:rPr>
                <w:rFonts w:ascii="Times New Roman" w:hAnsi="Times New Roman"/>
                <w:sz w:val="20"/>
                <w:szCs w:val="20"/>
                <w:vertAlign w:val="superscript"/>
              </w:rPr>
              <w:t>o</w:t>
            </w:r>
            <w:r w:rsidRPr="00C25A82">
              <w:rPr>
                <w:rFonts w:ascii="Times New Roman" w:hAnsi="Times New Roman"/>
                <w:sz w:val="20"/>
                <w:szCs w:val="20"/>
              </w:rPr>
              <w:t>C</w:t>
            </w:r>
          </w:p>
        </w:tc>
        <w:tc>
          <w:tcPr>
            <w:tcW w:w="1482" w:type="dxa"/>
          </w:tcPr>
          <w:p w:rsidR="00C25A82" w:rsidRPr="00C25A82" w:rsidRDefault="006827AC" w:rsidP="00C25A82">
            <w:pPr>
              <w:pStyle w:val="TTPParagraphothers"/>
              <w:ind w:firstLine="0"/>
              <w:rPr>
                <w:rFonts w:ascii="Times New Roman" w:hAnsi="Times New Roman"/>
                <w:sz w:val="20"/>
                <w:szCs w:val="20"/>
              </w:rPr>
            </w:pPr>
            <w:r>
              <w:rPr>
                <w:bCs/>
                <w:noProof/>
                <w:lang w:val="id-ID" w:eastAsia="id-ID"/>
              </w:rPr>
              <w:drawing>
                <wp:inline distT="0" distB="0" distL="0" distR="0" wp14:anchorId="1F002582" wp14:editId="63AB9FED">
                  <wp:extent cx="863310" cy="7156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870209" cy="721336"/>
                          </a:xfrm>
                          <a:prstGeom prst="rect">
                            <a:avLst/>
                          </a:prstGeom>
                          <a:noFill/>
                          <a:ln w="9525">
                            <a:noFill/>
                            <a:miter lim="800000"/>
                            <a:headEnd/>
                            <a:tailEnd/>
                          </a:ln>
                        </pic:spPr>
                      </pic:pic>
                    </a:graphicData>
                  </a:graphic>
                </wp:inline>
              </w:drawing>
            </w:r>
          </w:p>
          <w:p w:rsidR="00C25A82" w:rsidRPr="00C25A82" w:rsidRDefault="00C25A82" w:rsidP="00C25A82">
            <w:pPr>
              <w:pStyle w:val="TTPParagraphothers"/>
              <w:ind w:firstLine="0"/>
              <w:jc w:val="center"/>
              <w:rPr>
                <w:rFonts w:ascii="Times New Roman" w:hAnsi="Times New Roman"/>
                <w:sz w:val="20"/>
                <w:szCs w:val="20"/>
              </w:rPr>
            </w:pPr>
            <w:r w:rsidRPr="00C25A82">
              <w:rPr>
                <w:rFonts w:ascii="Times New Roman" w:hAnsi="Times New Roman"/>
                <w:sz w:val="20"/>
                <w:szCs w:val="20"/>
              </w:rPr>
              <w:t>450</w:t>
            </w:r>
            <w:r w:rsidRPr="00C25A82">
              <w:rPr>
                <w:rFonts w:ascii="Times New Roman" w:hAnsi="Times New Roman"/>
                <w:sz w:val="20"/>
                <w:szCs w:val="20"/>
                <w:vertAlign w:val="superscript"/>
              </w:rPr>
              <w:t>o</w:t>
            </w:r>
            <w:r w:rsidRPr="00C25A82">
              <w:rPr>
                <w:rFonts w:ascii="Times New Roman" w:hAnsi="Times New Roman"/>
                <w:sz w:val="20"/>
                <w:szCs w:val="20"/>
              </w:rPr>
              <w:t>C</w:t>
            </w:r>
          </w:p>
        </w:tc>
      </w:tr>
    </w:tbl>
    <w:p w:rsidR="00C25A82" w:rsidRDefault="00C25A82" w:rsidP="00C25A82">
      <w:pPr>
        <w:pStyle w:val="TTPParagraphothers"/>
        <w:ind w:firstLine="0"/>
        <w:jc w:val="center"/>
        <w:rPr>
          <w:sz w:val="20"/>
          <w:szCs w:val="20"/>
          <w:lang w:val="id-ID"/>
        </w:rPr>
      </w:pPr>
      <w:r w:rsidRPr="000B2DCF">
        <w:rPr>
          <w:sz w:val="20"/>
          <w:szCs w:val="20"/>
        </w:rPr>
        <w:t xml:space="preserve">Gambar 2. </w:t>
      </w:r>
      <w:r w:rsidR="000B2DCF" w:rsidRPr="000B2DCF">
        <w:rPr>
          <w:sz w:val="20"/>
          <w:szCs w:val="20"/>
        </w:rPr>
        <w:t xml:space="preserve">Hasil </w:t>
      </w:r>
      <w:r w:rsidRPr="000B2DCF">
        <w:rPr>
          <w:sz w:val="20"/>
          <w:szCs w:val="20"/>
        </w:rPr>
        <w:t>uji struktur mikro</w:t>
      </w:r>
      <w:r w:rsidR="000B2DCF" w:rsidRPr="000B2DCF">
        <w:rPr>
          <w:sz w:val="20"/>
          <w:szCs w:val="20"/>
        </w:rPr>
        <w:t xml:space="preserve"> dengan variasi temperatur  sintering</w:t>
      </w:r>
    </w:p>
    <w:p w:rsidR="006827AC" w:rsidRDefault="006827AC" w:rsidP="00C25A82">
      <w:pPr>
        <w:pStyle w:val="TTPParagraphothers"/>
        <w:ind w:firstLine="0"/>
        <w:jc w:val="center"/>
        <w:rPr>
          <w:sz w:val="20"/>
          <w:szCs w:val="20"/>
          <w:lang w:val="id-ID"/>
        </w:rPr>
      </w:pPr>
    </w:p>
    <w:p w:rsidR="000305EB" w:rsidRDefault="00FC2A11" w:rsidP="007C0D42">
      <w:pPr>
        <w:pStyle w:val="TTPParagraphothers"/>
        <w:tabs>
          <w:tab w:val="left" w:pos="567"/>
        </w:tabs>
        <w:spacing w:after="120"/>
        <w:ind w:firstLine="0"/>
        <w:rPr>
          <w:lang w:val="id-ID"/>
        </w:rPr>
      </w:pPr>
      <w:r>
        <w:rPr>
          <w:lang w:val="id-ID"/>
        </w:rPr>
        <w:tab/>
      </w:r>
      <w:r w:rsidR="00FE5693">
        <w:rPr>
          <w:lang w:val="id-ID"/>
        </w:rPr>
        <w:t xml:space="preserve">Berdasarkan Gambar </w:t>
      </w:r>
      <w:r>
        <w:rPr>
          <w:lang w:val="id-ID"/>
        </w:rPr>
        <w:t>2</w:t>
      </w:r>
      <w:r w:rsidR="00FE5693">
        <w:rPr>
          <w:lang w:val="id-ID"/>
        </w:rPr>
        <w:t>.</w:t>
      </w:r>
      <w:r>
        <w:rPr>
          <w:lang w:val="id-ID"/>
        </w:rPr>
        <w:t xml:space="preserve"> </w:t>
      </w:r>
      <w:r w:rsidR="00FE5693" w:rsidRPr="00FE5693">
        <w:rPr>
          <w:lang w:val="id-ID"/>
        </w:rPr>
        <w:t xml:space="preserve">Hasil uji struktur mikro dengan variasi temperatur  sintering </w:t>
      </w:r>
      <w:r w:rsidR="00B84C39">
        <w:rPr>
          <w:lang w:val="id-ID"/>
        </w:rPr>
        <w:t>dengan pembesara</w:t>
      </w:r>
      <w:r w:rsidR="00615070">
        <w:rPr>
          <w:lang w:val="id-ID"/>
        </w:rPr>
        <w:t>n 50 kali</w:t>
      </w:r>
      <w:r>
        <w:rPr>
          <w:lang w:val="id-ID"/>
        </w:rPr>
        <w:t xml:space="preserve"> menunjukan bentuk permukaan magnesium memiliki kemiripan yaitu adanya pori yang ter</w:t>
      </w:r>
      <w:r w:rsidR="00B84C39">
        <w:rPr>
          <w:lang w:val="id-ID"/>
        </w:rPr>
        <w:t>bentuk hasil pemanasan dari</w:t>
      </w:r>
      <w:r>
        <w:rPr>
          <w:lang w:val="id-ID"/>
        </w:rPr>
        <w:t xml:space="preserve"> variasi sintering. Hal ini bisa dilihat dari warna gelap pada daerah gambar tersebut yang menandakan bahwa pada daerah tersebut telah terbentuk pori</w:t>
      </w:r>
      <w:r w:rsidR="00FE5693">
        <w:rPr>
          <w:lang w:val="id-ID"/>
        </w:rPr>
        <w:t>.</w:t>
      </w:r>
      <w:r>
        <w:rPr>
          <w:lang w:val="id-ID"/>
        </w:rPr>
        <w:t xml:space="preserve"> </w:t>
      </w:r>
      <w:r w:rsidR="00FE5693">
        <w:rPr>
          <w:lang w:val="id-ID"/>
        </w:rPr>
        <w:t xml:space="preserve">Berdasarkan Gambar 2. </w:t>
      </w:r>
      <w:r w:rsidR="00FE5693" w:rsidRPr="00FE5693">
        <w:rPr>
          <w:lang w:val="id-ID"/>
        </w:rPr>
        <w:t>Hasil uji struktur mikro</w:t>
      </w:r>
      <w:r w:rsidR="00FE5693">
        <w:rPr>
          <w:lang w:val="id-ID"/>
        </w:rPr>
        <w:t xml:space="preserve"> </w:t>
      </w:r>
      <w:r w:rsidR="00FB3A59" w:rsidRPr="00FE5693">
        <w:rPr>
          <w:lang w:val="id-ID"/>
        </w:rPr>
        <w:t xml:space="preserve">dengan variasi temperatur  sintering </w:t>
      </w:r>
      <w:r>
        <w:rPr>
          <w:lang w:val="id-ID"/>
        </w:rPr>
        <w:t>dapat terlih</w:t>
      </w:r>
      <w:r w:rsidR="007C2E94">
        <w:rPr>
          <w:lang w:val="id-ID"/>
        </w:rPr>
        <w:t>at bahwa</w:t>
      </w:r>
      <w:r w:rsidR="00DE05FD">
        <w:rPr>
          <w:lang w:val="id-ID"/>
        </w:rPr>
        <w:t xml:space="preserve"> </w:t>
      </w:r>
      <w:r w:rsidR="007C2E94">
        <w:rPr>
          <w:lang w:val="id-ID"/>
        </w:rPr>
        <w:t>jumlah dan ukuran pori berkurang</w:t>
      </w:r>
      <w:r>
        <w:rPr>
          <w:lang w:val="id-ID"/>
        </w:rPr>
        <w:t xml:space="preserve"> dengan kenaikan temperatur sinter</w:t>
      </w:r>
      <w:r w:rsidR="00FB3A59">
        <w:rPr>
          <w:lang w:val="id-ID"/>
        </w:rPr>
        <w:t>ing</w:t>
      </w:r>
      <w:r w:rsidR="000305EB">
        <w:rPr>
          <w:lang w:val="id-ID"/>
        </w:rPr>
        <w:t>. Kenaikan temperatur</w:t>
      </w:r>
      <w:r w:rsidR="007C2E94">
        <w:rPr>
          <w:lang w:val="id-ID"/>
        </w:rPr>
        <w:t xml:space="preserve"> berdampa</w:t>
      </w:r>
      <w:r w:rsidR="003C2014">
        <w:rPr>
          <w:lang w:val="id-ID"/>
        </w:rPr>
        <w:t xml:space="preserve">k pada </w:t>
      </w:r>
      <w:r w:rsidR="008E4892">
        <w:rPr>
          <w:lang w:val="id-ID"/>
        </w:rPr>
        <w:t>jumlah</w:t>
      </w:r>
      <w:r w:rsidR="003C2014">
        <w:rPr>
          <w:lang w:val="id-ID"/>
        </w:rPr>
        <w:t xml:space="preserve"> maupun</w:t>
      </w:r>
      <w:r w:rsidR="008E4892">
        <w:rPr>
          <w:lang w:val="id-ID"/>
        </w:rPr>
        <w:t xml:space="preserve"> ukuran pori</w:t>
      </w:r>
      <w:r w:rsidR="003C2014" w:rsidRPr="003C2014">
        <w:rPr>
          <w:lang w:val="id-ID"/>
        </w:rPr>
        <w:t xml:space="preserve"> </w:t>
      </w:r>
      <w:r w:rsidR="003C2014">
        <w:rPr>
          <w:lang w:val="id-ID"/>
        </w:rPr>
        <w:t>semakin rendah</w:t>
      </w:r>
      <w:r w:rsidR="008E4892">
        <w:rPr>
          <w:lang w:val="id-ID"/>
        </w:rPr>
        <w:t>.</w:t>
      </w:r>
      <w:r w:rsidR="00FB3A59">
        <w:rPr>
          <w:lang w:val="id-ID"/>
        </w:rPr>
        <w:t xml:space="preserve"> </w:t>
      </w:r>
    </w:p>
    <w:p w:rsidR="008E4892" w:rsidRDefault="001A07C9" w:rsidP="000D565D">
      <w:pPr>
        <w:pStyle w:val="TTPParagraphothers"/>
        <w:ind w:firstLine="0"/>
        <w:rPr>
          <w:lang w:val="id-ID"/>
        </w:rPr>
      </w:pPr>
      <w:r>
        <w:rPr>
          <w:noProof/>
          <w:lang w:val="id-ID" w:eastAsia="id-ID"/>
        </w:rPr>
        <w:drawing>
          <wp:inline distT="0" distB="0" distL="0" distR="0" wp14:anchorId="4A232DAD" wp14:editId="429C12E0">
            <wp:extent cx="2686050" cy="156718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B1273" w:rsidRDefault="002B1273" w:rsidP="002B1273">
      <w:pPr>
        <w:pStyle w:val="TTPParagraphothers"/>
        <w:ind w:firstLine="0"/>
        <w:jc w:val="center"/>
        <w:rPr>
          <w:sz w:val="20"/>
          <w:szCs w:val="20"/>
          <w:lang w:val="id-ID"/>
        </w:rPr>
      </w:pPr>
      <w:r>
        <w:rPr>
          <w:sz w:val="20"/>
          <w:szCs w:val="20"/>
        </w:rPr>
        <w:t>Gambar 3</w:t>
      </w:r>
      <w:r w:rsidRPr="000B2DCF">
        <w:rPr>
          <w:sz w:val="20"/>
          <w:szCs w:val="20"/>
        </w:rPr>
        <w:t>. Variasi temperatur  sintering</w:t>
      </w:r>
      <w:r>
        <w:rPr>
          <w:sz w:val="20"/>
          <w:szCs w:val="20"/>
          <w:lang w:val="id-ID"/>
        </w:rPr>
        <w:t xml:space="preserve"> </w:t>
      </w:r>
      <w:r w:rsidR="00FB3A59">
        <w:rPr>
          <w:sz w:val="20"/>
          <w:szCs w:val="20"/>
          <w:lang w:val="id-ID"/>
        </w:rPr>
        <w:t>terhadap</w:t>
      </w:r>
      <w:r>
        <w:rPr>
          <w:sz w:val="20"/>
          <w:szCs w:val="20"/>
          <w:lang w:val="id-ID"/>
        </w:rPr>
        <w:t xml:space="preserve"> persentase pori</w:t>
      </w:r>
      <w:r w:rsidR="003C2014">
        <w:rPr>
          <w:sz w:val="20"/>
          <w:szCs w:val="20"/>
          <w:lang w:val="id-ID"/>
        </w:rPr>
        <w:t xml:space="preserve"> </w:t>
      </w:r>
    </w:p>
    <w:p w:rsidR="002B1273" w:rsidRDefault="002B1273" w:rsidP="000D565D">
      <w:pPr>
        <w:pStyle w:val="TTPParagraphothers"/>
        <w:ind w:firstLine="0"/>
        <w:rPr>
          <w:lang w:val="id-ID"/>
        </w:rPr>
      </w:pPr>
    </w:p>
    <w:p w:rsidR="000633A2" w:rsidRDefault="00FB3A59" w:rsidP="000633A2">
      <w:pPr>
        <w:pStyle w:val="TTPParagraphothers"/>
        <w:ind w:firstLine="709"/>
        <w:rPr>
          <w:lang w:val="id-ID"/>
        </w:rPr>
      </w:pPr>
      <w:r>
        <w:rPr>
          <w:lang w:val="id-ID"/>
        </w:rPr>
        <w:t xml:space="preserve">Berdasarkan </w:t>
      </w:r>
      <w:r w:rsidR="007C0D42">
        <w:rPr>
          <w:lang w:val="id-ID"/>
        </w:rPr>
        <w:t xml:space="preserve">Gambar </w:t>
      </w:r>
      <w:r>
        <w:rPr>
          <w:lang w:val="id-ID"/>
        </w:rPr>
        <w:t>3.</w:t>
      </w:r>
      <w:r w:rsidR="000633A2">
        <w:rPr>
          <w:lang w:val="id-ID"/>
        </w:rPr>
        <w:t xml:space="preserve"> </w:t>
      </w:r>
      <w:r w:rsidR="003C2014" w:rsidRPr="003C2014">
        <w:rPr>
          <w:lang w:val="id-ID"/>
        </w:rPr>
        <w:t xml:space="preserve">Variasi temperatur  sintering terhadap persentase pori </w:t>
      </w:r>
      <w:r w:rsidR="003C2014">
        <w:rPr>
          <w:lang w:val="id-ID"/>
        </w:rPr>
        <w:t xml:space="preserve">diketahui bahwa </w:t>
      </w:r>
      <w:r w:rsidR="001A07C9">
        <w:rPr>
          <w:lang w:val="id-ID"/>
        </w:rPr>
        <w:t xml:space="preserve">pada </w:t>
      </w:r>
      <w:r w:rsidR="002C2B65">
        <w:rPr>
          <w:lang w:val="id-ID"/>
        </w:rPr>
        <w:t xml:space="preserve">temperatur </w:t>
      </w:r>
      <w:r w:rsidR="002C2B65" w:rsidRPr="00C25A82">
        <w:rPr>
          <w:bCs/>
        </w:rPr>
        <w:t>350</w:t>
      </w:r>
      <w:r w:rsidR="002C2B65" w:rsidRPr="00C25A82">
        <w:rPr>
          <w:bCs/>
          <w:vertAlign w:val="superscript"/>
        </w:rPr>
        <w:t>o</w:t>
      </w:r>
      <w:r w:rsidR="002C2B65" w:rsidRPr="00C25A82">
        <w:rPr>
          <w:bCs/>
        </w:rPr>
        <w:t>C</w:t>
      </w:r>
      <w:r w:rsidR="002C2B65" w:rsidRPr="002C2B65">
        <w:rPr>
          <w:lang w:val="id-ID"/>
        </w:rPr>
        <w:t xml:space="preserve"> </w:t>
      </w:r>
      <w:r w:rsidR="002C2B65">
        <w:rPr>
          <w:lang w:val="id-ID"/>
        </w:rPr>
        <w:t>d</w:t>
      </w:r>
      <w:r w:rsidR="007C0D42">
        <w:rPr>
          <w:lang w:val="id-ID"/>
        </w:rPr>
        <w:t>iperoleh persentase 46,50% pori</w:t>
      </w:r>
      <w:r w:rsidR="002C2B65">
        <w:rPr>
          <w:lang w:val="id-ID"/>
        </w:rPr>
        <w:t xml:space="preserve"> dari ukuran gambar 344 µm</w:t>
      </w:r>
      <w:r w:rsidR="002C2B65" w:rsidRPr="002C2B65">
        <w:rPr>
          <w:vertAlign w:val="superscript"/>
          <w:lang w:val="id-ID"/>
        </w:rPr>
        <w:t>2</w:t>
      </w:r>
      <w:r w:rsidR="002C2B65">
        <w:rPr>
          <w:lang w:val="id-ID"/>
        </w:rPr>
        <w:t>,</w:t>
      </w:r>
      <w:r w:rsidR="002C2B65" w:rsidRPr="002C2B65">
        <w:rPr>
          <w:lang w:val="id-ID"/>
        </w:rPr>
        <w:t xml:space="preserve"> </w:t>
      </w:r>
      <w:r w:rsidR="002C2B65">
        <w:rPr>
          <w:lang w:val="id-ID"/>
        </w:rPr>
        <w:t xml:space="preserve">ditemperatur </w:t>
      </w:r>
      <w:r w:rsidR="002C2B65">
        <w:rPr>
          <w:bCs/>
          <w:lang w:val="id-ID"/>
        </w:rPr>
        <w:t>40</w:t>
      </w:r>
      <w:r w:rsidR="002C2B65" w:rsidRPr="00C25A82">
        <w:rPr>
          <w:bCs/>
        </w:rPr>
        <w:t>0</w:t>
      </w:r>
      <w:r w:rsidR="002C2B65" w:rsidRPr="00C25A82">
        <w:rPr>
          <w:bCs/>
          <w:vertAlign w:val="superscript"/>
        </w:rPr>
        <w:t>o</w:t>
      </w:r>
      <w:r w:rsidR="002C2B65" w:rsidRPr="00C25A82">
        <w:rPr>
          <w:bCs/>
        </w:rPr>
        <w:t>C</w:t>
      </w:r>
      <w:r w:rsidR="002C2B65" w:rsidRPr="002C2B65">
        <w:rPr>
          <w:lang w:val="id-ID"/>
        </w:rPr>
        <w:t xml:space="preserve"> </w:t>
      </w:r>
      <w:r w:rsidR="007C0D42">
        <w:rPr>
          <w:lang w:val="id-ID"/>
        </w:rPr>
        <w:t>diperoleh persentase 27,90% pori</w:t>
      </w:r>
      <w:r w:rsidR="002C2B65">
        <w:rPr>
          <w:lang w:val="id-ID"/>
        </w:rPr>
        <w:t xml:space="preserve"> </w:t>
      </w:r>
      <w:r w:rsidR="002C2B65">
        <w:rPr>
          <w:lang w:val="id-ID"/>
        </w:rPr>
        <w:lastRenderedPageBreak/>
        <w:t xml:space="preserve">dan ditemperatur </w:t>
      </w:r>
      <w:r w:rsidR="002C2B65">
        <w:rPr>
          <w:bCs/>
          <w:lang w:val="id-ID"/>
        </w:rPr>
        <w:t>4</w:t>
      </w:r>
      <w:r w:rsidR="002C2B65" w:rsidRPr="00C25A82">
        <w:rPr>
          <w:bCs/>
        </w:rPr>
        <w:t>50</w:t>
      </w:r>
      <w:r w:rsidR="002C2B65" w:rsidRPr="00C25A82">
        <w:rPr>
          <w:bCs/>
          <w:vertAlign w:val="superscript"/>
        </w:rPr>
        <w:t>o</w:t>
      </w:r>
      <w:r w:rsidR="002C2B65" w:rsidRPr="00C25A82">
        <w:rPr>
          <w:bCs/>
        </w:rPr>
        <w:t>C</w:t>
      </w:r>
      <w:r w:rsidR="002C2B65" w:rsidRPr="002C2B65">
        <w:rPr>
          <w:lang w:val="id-ID"/>
        </w:rPr>
        <w:t xml:space="preserve"> </w:t>
      </w:r>
      <w:r w:rsidR="002C2B65">
        <w:rPr>
          <w:lang w:val="id-ID"/>
        </w:rPr>
        <w:t>d</w:t>
      </w:r>
      <w:r w:rsidR="007C0D42">
        <w:rPr>
          <w:lang w:val="id-ID"/>
        </w:rPr>
        <w:t>iperoleh persentase 18,86% pori</w:t>
      </w:r>
      <w:r w:rsidR="002C2B65">
        <w:rPr>
          <w:lang w:val="id-ID"/>
        </w:rPr>
        <w:t>.</w:t>
      </w:r>
    </w:p>
    <w:p w:rsidR="0039066E" w:rsidRDefault="0039066E" w:rsidP="0039066E">
      <w:pPr>
        <w:pStyle w:val="TTPParagraphothers"/>
        <w:spacing w:after="120"/>
        <w:ind w:firstLine="709"/>
        <w:rPr>
          <w:bCs/>
        </w:rPr>
      </w:pPr>
      <w:r>
        <w:t xml:space="preserve">Berdasarkan hasil pengujian diperoleh kurva hasil uji </w:t>
      </w:r>
      <w:r w:rsidR="00361CF0">
        <w:t xml:space="preserve">kekuatan </w:t>
      </w:r>
      <w:r>
        <w:t>tekan dengan variasi temperatur</w:t>
      </w:r>
      <w:r w:rsidR="008D23CC">
        <w:rPr>
          <w:bCs/>
        </w:rPr>
        <w:t xml:space="preserve"> </w:t>
      </w:r>
      <w:r w:rsidRPr="00C25A82">
        <w:rPr>
          <w:bCs/>
        </w:rPr>
        <w:t>350</w:t>
      </w:r>
      <w:r w:rsidRPr="00C25A82">
        <w:rPr>
          <w:bCs/>
          <w:vertAlign w:val="superscript"/>
        </w:rPr>
        <w:t>o</w:t>
      </w:r>
      <w:r w:rsidRPr="00C25A82">
        <w:rPr>
          <w:bCs/>
        </w:rPr>
        <w:t>C, 400</w:t>
      </w:r>
      <w:r w:rsidRPr="00C25A82">
        <w:rPr>
          <w:bCs/>
          <w:vertAlign w:val="superscript"/>
        </w:rPr>
        <w:t>o</w:t>
      </w:r>
      <w:r w:rsidRPr="00C25A82">
        <w:rPr>
          <w:bCs/>
        </w:rPr>
        <w:t>C dan 450</w:t>
      </w:r>
      <w:r w:rsidRPr="00C25A82">
        <w:rPr>
          <w:bCs/>
          <w:vertAlign w:val="superscript"/>
        </w:rPr>
        <w:t>o</w:t>
      </w:r>
      <w:r w:rsidRPr="00C25A82">
        <w:rPr>
          <w:bCs/>
        </w:rPr>
        <w:t>C</w:t>
      </w:r>
      <w:r>
        <w:rPr>
          <w:bCs/>
        </w:rPr>
        <w:t xml:space="preserve"> seperti pada gambar berikut.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6"/>
        <w:gridCol w:w="1539"/>
        <w:gridCol w:w="1441"/>
      </w:tblGrid>
      <w:tr w:rsidR="0039066E" w:rsidRPr="00C25A82" w:rsidTr="000305EB">
        <w:tc>
          <w:tcPr>
            <w:tcW w:w="1482" w:type="dxa"/>
          </w:tcPr>
          <w:p w:rsidR="0039066E" w:rsidRPr="00C25A82" w:rsidRDefault="0039066E" w:rsidP="000305EB">
            <w:pPr>
              <w:pStyle w:val="TTPParagraphothers"/>
              <w:ind w:firstLine="0"/>
              <w:rPr>
                <w:rFonts w:ascii="Times New Roman" w:hAnsi="Times New Roman"/>
                <w:sz w:val="20"/>
                <w:szCs w:val="20"/>
              </w:rPr>
            </w:pPr>
            <w:r w:rsidRPr="00DE266C">
              <w:rPr>
                <w:noProof/>
                <w:lang w:val="id-ID" w:eastAsia="id-ID"/>
              </w:rPr>
              <w:drawing>
                <wp:inline distT="0" distB="0" distL="0" distR="0" wp14:anchorId="788CEAB9" wp14:editId="5115A2C2">
                  <wp:extent cx="819508" cy="1035170"/>
                  <wp:effectExtent l="0" t="0" r="0" b="0"/>
                  <wp:docPr id="29" name="Picture 2" descr="9c45323e-d050-41b8-87a9-ee9fe8eb2fda">
                    <a:extLst xmlns:a="http://schemas.openxmlformats.org/drawingml/2006/main">
                      <a:ext uri="{FF2B5EF4-FFF2-40B4-BE49-F238E27FC236}">
                        <a16:creationId xmlns:ve="http://schemas.openxmlformats.org/markup-compatibility/2006"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9c45323e-d050-41b8-87a9-ee9fe8eb2fda" descr="9c45323e-d050-41b8-87a9-ee9fe8eb2fda">
                            <a:extLst>
                              <a:ext uri="{FF2B5EF4-FFF2-40B4-BE49-F238E27FC236}">
                                <a16:creationId xmlns:ve="http://schemas.openxmlformats.org/markup-compatibility/2006"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pic:cNvPr>
                          <pic:cNvPicPr>
                            <a:picLocks noChangeAspect="1" noChangeArrowheads="1"/>
                          </pic:cNvPicPr>
                        </pic:nvPicPr>
                        <pic:blipFill>
                          <a:blip r:embed="rId17" cstate="print">
                            <a:grayscl/>
                          </a:blip>
                          <a:srcRect/>
                          <a:stretch>
                            <a:fillRect/>
                          </a:stretch>
                        </pic:blipFill>
                        <pic:spPr bwMode="auto">
                          <a:xfrm>
                            <a:off x="0" y="0"/>
                            <a:ext cx="824096" cy="1040965"/>
                          </a:xfrm>
                          <a:prstGeom prst="rect">
                            <a:avLst/>
                          </a:prstGeom>
                          <a:noFill/>
                        </pic:spPr>
                      </pic:pic>
                    </a:graphicData>
                  </a:graphic>
                </wp:inline>
              </w:drawing>
            </w:r>
          </w:p>
          <w:p w:rsidR="0039066E" w:rsidRPr="00C25A82" w:rsidRDefault="0039066E" w:rsidP="000305EB">
            <w:pPr>
              <w:pStyle w:val="TTPParagraphothers"/>
              <w:ind w:firstLine="0"/>
              <w:jc w:val="center"/>
              <w:rPr>
                <w:rFonts w:ascii="Times New Roman" w:hAnsi="Times New Roman"/>
                <w:sz w:val="20"/>
                <w:szCs w:val="20"/>
              </w:rPr>
            </w:pPr>
            <w:r w:rsidRPr="00C25A82">
              <w:rPr>
                <w:rFonts w:ascii="Times New Roman" w:hAnsi="Times New Roman"/>
                <w:sz w:val="20"/>
                <w:szCs w:val="20"/>
              </w:rPr>
              <w:t>350</w:t>
            </w:r>
            <w:r w:rsidRPr="00C25A82">
              <w:rPr>
                <w:rFonts w:ascii="Times New Roman" w:hAnsi="Times New Roman"/>
                <w:sz w:val="20"/>
                <w:szCs w:val="20"/>
                <w:vertAlign w:val="superscript"/>
              </w:rPr>
              <w:t>o</w:t>
            </w:r>
            <w:r w:rsidRPr="00C25A82">
              <w:rPr>
                <w:rFonts w:ascii="Times New Roman" w:hAnsi="Times New Roman"/>
                <w:sz w:val="20"/>
                <w:szCs w:val="20"/>
              </w:rPr>
              <w:t>C</w:t>
            </w:r>
          </w:p>
        </w:tc>
        <w:tc>
          <w:tcPr>
            <w:tcW w:w="1482" w:type="dxa"/>
          </w:tcPr>
          <w:p w:rsidR="0039066E" w:rsidRPr="00C25A82" w:rsidRDefault="0039066E" w:rsidP="000305EB">
            <w:pPr>
              <w:pStyle w:val="TTPParagraphothers"/>
              <w:ind w:firstLine="0"/>
              <w:rPr>
                <w:rFonts w:ascii="Times New Roman" w:hAnsi="Times New Roman"/>
                <w:sz w:val="20"/>
                <w:szCs w:val="20"/>
                <w:lang w:val="id-ID"/>
              </w:rPr>
            </w:pPr>
            <w:r w:rsidRPr="00FE1CD6">
              <w:rPr>
                <w:noProof/>
                <w:lang w:val="id-ID" w:eastAsia="id-ID"/>
              </w:rPr>
              <w:drawing>
                <wp:inline distT="0" distB="0" distL="0" distR="0" wp14:anchorId="4611C75D" wp14:editId="331A214A">
                  <wp:extent cx="866692" cy="1031839"/>
                  <wp:effectExtent l="0" t="0" r="0" b="0"/>
                  <wp:docPr id="1073741824" name="Picture 5" descr="a229a83a-7337-4377-a056-67c5548cdf5f">
                    <a:extLst xmlns:a="http://schemas.openxmlformats.org/drawingml/2006/main">
                      <a:ext uri="{FF2B5EF4-FFF2-40B4-BE49-F238E27FC236}">
                        <a16:creationId xmlns:ve="http://schemas.openxmlformats.org/markup-compatibility/2006"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a229a83a-7337-4377-a056-67c5548cdf5f" descr="a229a83a-7337-4377-a056-67c5548cdf5f">
                            <a:extLst>
                              <a:ext uri="{FF2B5EF4-FFF2-40B4-BE49-F238E27FC236}">
                                <a16:creationId xmlns:ve="http://schemas.openxmlformats.org/markup-compatibility/2006"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pic:cNvPr>
                          <pic:cNvPicPr>
                            <a:picLocks noChangeAspect="1" noChangeArrowheads="1"/>
                          </pic:cNvPicPr>
                        </pic:nvPicPr>
                        <pic:blipFill>
                          <a:blip r:embed="rId18" cstate="print">
                            <a:grayscl/>
                          </a:blip>
                          <a:srcRect/>
                          <a:stretch>
                            <a:fillRect/>
                          </a:stretch>
                        </pic:blipFill>
                        <pic:spPr bwMode="auto">
                          <a:xfrm>
                            <a:off x="0" y="0"/>
                            <a:ext cx="874358" cy="1040965"/>
                          </a:xfrm>
                          <a:prstGeom prst="rect">
                            <a:avLst/>
                          </a:prstGeom>
                          <a:noFill/>
                        </pic:spPr>
                      </pic:pic>
                    </a:graphicData>
                  </a:graphic>
                </wp:inline>
              </w:drawing>
            </w:r>
          </w:p>
          <w:p w:rsidR="0039066E" w:rsidRPr="00C25A82" w:rsidRDefault="0039066E" w:rsidP="000305EB">
            <w:pPr>
              <w:pStyle w:val="TTPParagraphothers"/>
              <w:ind w:firstLine="0"/>
              <w:jc w:val="center"/>
              <w:rPr>
                <w:rFonts w:ascii="Times New Roman" w:hAnsi="Times New Roman"/>
                <w:sz w:val="20"/>
                <w:szCs w:val="20"/>
                <w:lang w:val="id-ID"/>
              </w:rPr>
            </w:pPr>
            <w:r w:rsidRPr="00C25A82">
              <w:rPr>
                <w:rFonts w:ascii="Times New Roman" w:hAnsi="Times New Roman"/>
                <w:sz w:val="20"/>
                <w:szCs w:val="20"/>
              </w:rPr>
              <w:t>400</w:t>
            </w:r>
            <w:r w:rsidRPr="00C25A82">
              <w:rPr>
                <w:rFonts w:ascii="Times New Roman" w:hAnsi="Times New Roman"/>
                <w:sz w:val="20"/>
                <w:szCs w:val="20"/>
                <w:vertAlign w:val="superscript"/>
              </w:rPr>
              <w:t>o</w:t>
            </w:r>
            <w:r w:rsidRPr="00C25A82">
              <w:rPr>
                <w:rFonts w:ascii="Times New Roman" w:hAnsi="Times New Roman"/>
                <w:sz w:val="20"/>
                <w:szCs w:val="20"/>
              </w:rPr>
              <w:t>C</w:t>
            </w:r>
          </w:p>
        </w:tc>
        <w:tc>
          <w:tcPr>
            <w:tcW w:w="1482" w:type="dxa"/>
          </w:tcPr>
          <w:p w:rsidR="0039066E" w:rsidRPr="00C25A82" w:rsidRDefault="0039066E" w:rsidP="000305EB">
            <w:pPr>
              <w:pStyle w:val="TTPParagraphothers"/>
              <w:ind w:firstLine="0"/>
              <w:rPr>
                <w:rFonts w:ascii="Times New Roman" w:hAnsi="Times New Roman"/>
                <w:sz w:val="20"/>
                <w:szCs w:val="20"/>
              </w:rPr>
            </w:pPr>
            <w:r w:rsidRPr="00C64291">
              <w:rPr>
                <w:noProof/>
                <w:lang w:val="id-ID" w:eastAsia="id-ID"/>
              </w:rPr>
              <w:drawing>
                <wp:inline distT="0" distB="0" distL="0" distR="0" wp14:anchorId="0C7BD9F2" wp14:editId="0664C606">
                  <wp:extent cx="802257" cy="1035170"/>
                  <wp:effectExtent l="0" t="0" r="0" b="0"/>
                  <wp:docPr id="32" name="Picture 10" descr="d09a3900-9217-4b89-bff3-64ec14b797f5">
                    <a:extLst xmlns:a="http://schemas.openxmlformats.org/drawingml/2006/main">
                      <a:ext uri="{FF2B5EF4-FFF2-40B4-BE49-F238E27FC236}">
                        <a16:creationId xmlns:ve="http://schemas.openxmlformats.org/markup-compatibility/2006"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d09a3900-9217-4b89-bff3-64ec14b797f5" descr="d09a3900-9217-4b89-bff3-64ec14b797f5">
                            <a:extLst>
                              <a:ext uri="{FF2B5EF4-FFF2-40B4-BE49-F238E27FC236}">
                                <a16:creationId xmlns:ve="http://schemas.openxmlformats.org/markup-compatibility/2006"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pic:cNvPr>
                          <pic:cNvPicPr>
                            <a:picLocks noChangeAspect="1" noChangeArrowheads="1"/>
                          </pic:cNvPicPr>
                        </pic:nvPicPr>
                        <pic:blipFill>
                          <a:blip r:embed="rId19" cstate="print">
                            <a:grayscl/>
                          </a:blip>
                          <a:srcRect/>
                          <a:stretch>
                            <a:fillRect/>
                          </a:stretch>
                        </pic:blipFill>
                        <pic:spPr bwMode="auto">
                          <a:xfrm>
                            <a:off x="0" y="0"/>
                            <a:ext cx="806747" cy="1040964"/>
                          </a:xfrm>
                          <a:prstGeom prst="rect">
                            <a:avLst/>
                          </a:prstGeom>
                          <a:noFill/>
                        </pic:spPr>
                      </pic:pic>
                    </a:graphicData>
                  </a:graphic>
                </wp:inline>
              </w:drawing>
            </w:r>
          </w:p>
          <w:p w:rsidR="0039066E" w:rsidRPr="00C25A82" w:rsidRDefault="0039066E" w:rsidP="000305EB">
            <w:pPr>
              <w:pStyle w:val="TTPParagraphothers"/>
              <w:ind w:firstLine="0"/>
              <w:jc w:val="center"/>
              <w:rPr>
                <w:rFonts w:ascii="Times New Roman" w:hAnsi="Times New Roman"/>
                <w:sz w:val="20"/>
                <w:szCs w:val="20"/>
              </w:rPr>
            </w:pPr>
            <w:r w:rsidRPr="00C25A82">
              <w:rPr>
                <w:rFonts w:ascii="Times New Roman" w:hAnsi="Times New Roman"/>
                <w:sz w:val="20"/>
                <w:szCs w:val="20"/>
              </w:rPr>
              <w:t>450</w:t>
            </w:r>
            <w:r w:rsidRPr="00C25A82">
              <w:rPr>
                <w:rFonts w:ascii="Times New Roman" w:hAnsi="Times New Roman"/>
                <w:sz w:val="20"/>
                <w:szCs w:val="20"/>
                <w:vertAlign w:val="superscript"/>
              </w:rPr>
              <w:t>o</w:t>
            </w:r>
            <w:r w:rsidRPr="00C25A82">
              <w:rPr>
                <w:rFonts w:ascii="Times New Roman" w:hAnsi="Times New Roman"/>
                <w:sz w:val="20"/>
                <w:szCs w:val="20"/>
              </w:rPr>
              <w:t>C</w:t>
            </w:r>
          </w:p>
        </w:tc>
      </w:tr>
    </w:tbl>
    <w:p w:rsidR="0039066E" w:rsidRPr="00766734" w:rsidRDefault="0039066E" w:rsidP="0039066E">
      <w:pPr>
        <w:pStyle w:val="TTPParagraphothers"/>
        <w:ind w:firstLine="0"/>
        <w:jc w:val="center"/>
        <w:rPr>
          <w:sz w:val="20"/>
          <w:szCs w:val="20"/>
        </w:rPr>
      </w:pPr>
      <w:r w:rsidRPr="00766734">
        <w:rPr>
          <w:sz w:val="20"/>
          <w:szCs w:val="20"/>
        </w:rPr>
        <w:t xml:space="preserve">Gambar </w:t>
      </w:r>
      <w:r w:rsidR="00FB3A59">
        <w:rPr>
          <w:sz w:val="20"/>
          <w:szCs w:val="20"/>
          <w:lang w:val="id-ID"/>
        </w:rPr>
        <w:t>4</w:t>
      </w:r>
      <w:r w:rsidRPr="00766734">
        <w:rPr>
          <w:sz w:val="20"/>
          <w:szCs w:val="20"/>
        </w:rPr>
        <w:t xml:space="preserve">. </w:t>
      </w:r>
      <w:r w:rsidR="00717B6E" w:rsidRPr="00766734">
        <w:rPr>
          <w:sz w:val="20"/>
          <w:szCs w:val="20"/>
        </w:rPr>
        <w:t xml:space="preserve">Kurva </w:t>
      </w:r>
      <w:r w:rsidR="00611562" w:rsidRPr="00766734">
        <w:rPr>
          <w:sz w:val="20"/>
          <w:szCs w:val="20"/>
        </w:rPr>
        <w:t xml:space="preserve">hasil uji tekan </w:t>
      </w:r>
      <w:r w:rsidR="000B2DCF" w:rsidRPr="00766734">
        <w:rPr>
          <w:sz w:val="20"/>
          <w:szCs w:val="20"/>
        </w:rPr>
        <w:t>dengan variasi temperatur  sintering</w:t>
      </w:r>
    </w:p>
    <w:p w:rsidR="0039066E" w:rsidRDefault="0039066E" w:rsidP="0039066E">
      <w:pPr>
        <w:pStyle w:val="TTPParagraphothers"/>
        <w:ind w:firstLine="0"/>
      </w:pPr>
    </w:p>
    <w:p w:rsidR="0039066E" w:rsidRDefault="0039066E" w:rsidP="006A0E53">
      <w:pPr>
        <w:pStyle w:val="TTPParagraphothers"/>
        <w:spacing w:after="120"/>
        <w:ind w:firstLine="567"/>
        <w:rPr>
          <w:bCs/>
        </w:rPr>
      </w:pPr>
      <w:r>
        <w:t>Berdasar</w:t>
      </w:r>
      <w:r w:rsidR="00071B2E">
        <w:t xml:space="preserve">kan hasil pengujian kuat tekan </w:t>
      </w:r>
      <w:r>
        <w:t xml:space="preserve">dengan variasi temperatur </w:t>
      </w:r>
      <w:r w:rsidR="002A438F">
        <w:rPr>
          <w:bCs/>
        </w:rPr>
        <w:t xml:space="preserve">sintering </w:t>
      </w:r>
      <w:r w:rsidRPr="00C25A82">
        <w:rPr>
          <w:bCs/>
        </w:rPr>
        <w:t>350</w:t>
      </w:r>
      <w:r w:rsidRPr="00C25A82">
        <w:rPr>
          <w:bCs/>
          <w:vertAlign w:val="superscript"/>
        </w:rPr>
        <w:t>o</w:t>
      </w:r>
      <w:r w:rsidRPr="00C25A82">
        <w:rPr>
          <w:bCs/>
        </w:rPr>
        <w:t>C, 400</w:t>
      </w:r>
      <w:r w:rsidRPr="00C25A82">
        <w:rPr>
          <w:bCs/>
          <w:vertAlign w:val="superscript"/>
        </w:rPr>
        <w:t>o</w:t>
      </w:r>
      <w:r w:rsidRPr="00C25A82">
        <w:rPr>
          <w:bCs/>
        </w:rPr>
        <w:t>C dan 450</w:t>
      </w:r>
      <w:r w:rsidRPr="00C25A82">
        <w:rPr>
          <w:bCs/>
          <w:vertAlign w:val="superscript"/>
        </w:rPr>
        <w:t>o</w:t>
      </w:r>
      <w:r w:rsidRPr="00C25A82">
        <w:rPr>
          <w:bCs/>
        </w:rPr>
        <w:t>C</w:t>
      </w:r>
      <w:r>
        <w:rPr>
          <w:bCs/>
        </w:rPr>
        <w:t xml:space="preserve"> </w:t>
      </w:r>
      <w:r w:rsidR="00071B2E">
        <w:rPr>
          <w:bCs/>
        </w:rPr>
        <w:t xml:space="preserve">diperoleh hasil </w:t>
      </w:r>
      <w:r>
        <w:rPr>
          <w:bCs/>
        </w:rPr>
        <w:t>seperti pada gambar berikut.</w:t>
      </w:r>
    </w:p>
    <w:p w:rsidR="0039066E" w:rsidRDefault="0039066E" w:rsidP="0039066E">
      <w:pPr>
        <w:pStyle w:val="TTPParagraphothers"/>
        <w:ind w:firstLine="0"/>
      </w:pPr>
      <w:r>
        <w:rPr>
          <w:noProof/>
          <w:lang w:val="id-ID" w:eastAsia="id-ID"/>
        </w:rPr>
        <w:drawing>
          <wp:inline distT="0" distB="0" distL="0" distR="0" wp14:anchorId="630D94FE" wp14:editId="1B19B2B0">
            <wp:extent cx="2691441" cy="1733909"/>
            <wp:effectExtent l="0" t="0" r="0" b="0"/>
            <wp:docPr id="1073741833"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11562" w:rsidRPr="00766734" w:rsidRDefault="00611562" w:rsidP="00611562">
      <w:pPr>
        <w:pStyle w:val="TTPParagraphothers"/>
        <w:ind w:firstLine="0"/>
        <w:jc w:val="center"/>
        <w:rPr>
          <w:sz w:val="20"/>
          <w:szCs w:val="20"/>
        </w:rPr>
      </w:pPr>
      <w:r w:rsidRPr="00766734">
        <w:rPr>
          <w:sz w:val="20"/>
          <w:szCs w:val="20"/>
        </w:rPr>
        <w:t xml:space="preserve">Gambar </w:t>
      </w:r>
      <w:r w:rsidR="00FB3A59">
        <w:rPr>
          <w:sz w:val="20"/>
          <w:szCs w:val="20"/>
          <w:lang w:val="id-ID"/>
        </w:rPr>
        <w:t>5</w:t>
      </w:r>
      <w:r w:rsidRPr="00766734">
        <w:rPr>
          <w:sz w:val="20"/>
          <w:szCs w:val="20"/>
        </w:rPr>
        <w:t xml:space="preserve">. </w:t>
      </w:r>
      <w:r w:rsidR="00717B6E" w:rsidRPr="00766734">
        <w:rPr>
          <w:sz w:val="20"/>
          <w:szCs w:val="20"/>
        </w:rPr>
        <w:t xml:space="preserve">Hasil </w:t>
      </w:r>
      <w:r w:rsidRPr="00766734">
        <w:rPr>
          <w:sz w:val="20"/>
          <w:szCs w:val="20"/>
        </w:rPr>
        <w:t>pengujian kuat tekan dengan variasi temperatur  sintering</w:t>
      </w:r>
    </w:p>
    <w:p w:rsidR="0039066E" w:rsidRDefault="0039066E" w:rsidP="00611562">
      <w:pPr>
        <w:pStyle w:val="TTPParagraphothers"/>
        <w:ind w:firstLine="0"/>
      </w:pPr>
    </w:p>
    <w:p w:rsidR="000B2DCF" w:rsidRDefault="000B2DCF" w:rsidP="00611562">
      <w:pPr>
        <w:pStyle w:val="TTPParagraphothers"/>
        <w:spacing w:after="120"/>
        <w:ind w:firstLine="709"/>
      </w:pPr>
      <w:r>
        <w:t xml:space="preserve">Dari pengujian dan analisa </w:t>
      </w:r>
      <w:r w:rsidR="002A438F">
        <w:t xml:space="preserve">data </w:t>
      </w:r>
      <w:r>
        <w:t xml:space="preserve">diketahui bahwa temperatur sintering berpengaruh pada kekuatan tekan </w:t>
      </w:r>
      <w:r w:rsidRPr="00C25A82">
        <w:rPr>
          <w:bCs/>
        </w:rPr>
        <w:t>material magnesium hasil metalurgi serbuk</w:t>
      </w:r>
      <w:r>
        <w:rPr>
          <w:bCs/>
        </w:rPr>
        <w:t xml:space="preserve">. Pengujian selanjutanya dilakukan dengan temperatur sintering 450°C dengan variasi </w:t>
      </w:r>
      <w:r w:rsidRPr="000B2DCF">
        <w:t>tekanan kompa</w:t>
      </w:r>
      <w:r w:rsidR="002A438F">
        <w:t>ksi yaitu</w:t>
      </w:r>
      <w:r w:rsidRPr="000B2DCF">
        <w:t xml:space="preserve"> </w:t>
      </w:r>
      <w:r w:rsidR="002A438F" w:rsidRPr="002A438F">
        <w:t>231 MPa, 309 MPa dan 386 MPa</w:t>
      </w:r>
      <w:r>
        <w:t xml:space="preserve">. Hasil pengujian </w:t>
      </w:r>
      <w:r w:rsidRPr="000B2DCF">
        <w:t>uji struktur mikro</w:t>
      </w:r>
      <w:r>
        <w:t xml:space="preserve"> dijelaskan pada gambar berikut.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0"/>
        <w:gridCol w:w="1492"/>
        <w:gridCol w:w="1474"/>
      </w:tblGrid>
      <w:tr w:rsidR="000B2DCF" w:rsidRPr="00C25A82" w:rsidTr="00611562">
        <w:tc>
          <w:tcPr>
            <w:tcW w:w="1423" w:type="dxa"/>
          </w:tcPr>
          <w:p w:rsidR="000B2DCF" w:rsidRPr="00C25A82" w:rsidRDefault="00DE77A6" w:rsidP="000305EB">
            <w:pPr>
              <w:pStyle w:val="TTPParagraphothers"/>
              <w:ind w:firstLine="0"/>
              <w:rPr>
                <w:rFonts w:ascii="Times New Roman" w:hAnsi="Times New Roman"/>
                <w:sz w:val="20"/>
                <w:szCs w:val="20"/>
              </w:rPr>
            </w:pPr>
            <w:r>
              <w:rPr>
                <w:noProof/>
                <w:lang w:val="id-ID" w:eastAsia="id-ID"/>
              </w:rPr>
              <w:drawing>
                <wp:inline distT="0" distB="0" distL="0" distR="0" wp14:anchorId="43E8B851" wp14:editId="51F3E5F9">
                  <wp:extent cx="818984" cy="662366"/>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818586" cy="662044"/>
                          </a:xfrm>
                          <a:prstGeom prst="rect">
                            <a:avLst/>
                          </a:prstGeom>
                          <a:noFill/>
                          <a:ln w="9525">
                            <a:noFill/>
                            <a:miter lim="800000"/>
                            <a:headEnd/>
                            <a:tailEnd/>
                          </a:ln>
                        </pic:spPr>
                      </pic:pic>
                    </a:graphicData>
                  </a:graphic>
                </wp:inline>
              </w:drawing>
            </w:r>
          </w:p>
          <w:p w:rsidR="000B2DCF" w:rsidRPr="00C25A82" w:rsidRDefault="002A438F" w:rsidP="000305EB">
            <w:pPr>
              <w:pStyle w:val="TTPParagraphothers"/>
              <w:ind w:firstLine="0"/>
              <w:jc w:val="center"/>
              <w:rPr>
                <w:rFonts w:ascii="Times New Roman" w:hAnsi="Times New Roman"/>
                <w:sz w:val="20"/>
                <w:szCs w:val="20"/>
              </w:rPr>
            </w:pPr>
            <w:r>
              <w:rPr>
                <w:rFonts w:ascii="Times New Roman" w:hAnsi="Times New Roman"/>
                <w:sz w:val="20"/>
                <w:szCs w:val="20"/>
              </w:rPr>
              <w:t>231 MPa</w:t>
            </w:r>
          </w:p>
        </w:tc>
        <w:tc>
          <w:tcPr>
            <w:tcW w:w="1513" w:type="dxa"/>
          </w:tcPr>
          <w:p w:rsidR="000B2DCF" w:rsidRPr="00C25A82" w:rsidRDefault="00DE77A6" w:rsidP="000305EB">
            <w:pPr>
              <w:pStyle w:val="TTPParagraphothers"/>
              <w:ind w:firstLine="0"/>
              <w:rPr>
                <w:rFonts w:ascii="Times New Roman" w:hAnsi="Times New Roman"/>
                <w:sz w:val="20"/>
                <w:szCs w:val="20"/>
                <w:lang w:val="id-ID"/>
              </w:rPr>
            </w:pPr>
            <w:r>
              <w:rPr>
                <w:noProof/>
                <w:lang w:val="id-ID" w:eastAsia="id-ID"/>
              </w:rPr>
              <w:drawing>
                <wp:inline distT="0" distB="0" distL="0" distR="0" wp14:anchorId="14CA668A" wp14:editId="33CC70E2">
                  <wp:extent cx="826935" cy="668796"/>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831898" cy="672810"/>
                          </a:xfrm>
                          <a:prstGeom prst="rect">
                            <a:avLst/>
                          </a:prstGeom>
                          <a:noFill/>
                          <a:ln w="9525">
                            <a:noFill/>
                            <a:miter lim="800000"/>
                            <a:headEnd/>
                            <a:tailEnd/>
                          </a:ln>
                        </pic:spPr>
                      </pic:pic>
                    </a:graphicData>
                  </a:graphic>
                </wp:inline>
              </w:drawing>
            </w:r>
          </w:p>
          <w:p w:rsidR="000B2DCF" w:rsidRPr="00C25A82" w:rsidRDefault="002A438F" w:rsidP="000305EB">
            <w:pPr>
              <w:pStyle w:val="TTPParagraphothers"/>
              <w:ind w:firstLine="0"/>
              <w:jc w:val="center"/>
              <w:rPr>
                <w:rFonts w:ascii="Times New Roman" w:hAnsi="Times New Roman"/>
                <w:sz w:val="20"/>
                <w:szCs w:val="20"/>
                <w:lang w:val="id-ID"/>
              </w:rPr>
            </w:pPr>
            <w:r>
              <w:rPr>
                <w:rFonts w:ascii="Times New Roman" w:hAnsi="Times New Roman"/>
                <w:sz w:val="20"/>
                <w:szCs w:val="20"/>
              </w:rPr>
              <w:t>309 MPa</w:t>
            </w:r>
          </w:p>
        </w:tc>
        <w:tc>
          <w:tcPr>
            <w:tcW w:w="1510" w:type="dxa"/>
          </w:tcPr>
          <w:p w:rsidR="000B2DCF" w:rsidRPr="00C25A82" w:rsidRDefault="00DE77A6" w:rsidP="000305EB">
            <w:pPr>
              <w:pStyle w:val="TTPParagraphothers"/>
              <w:ind w:firstLine="0"/>
              <w:rPr>
                <w:rFonts w:ascii="Times New Roman" w:hAnsi="Times New Roman"/>
                <w:sz w:val="20"/>
                <w:szCs w:val="20"/>
              </w:rPr>
            </w:pPr>
            <w:r w:rsidRPr="004B26C8">
              <w:rPr>
                <w:noProof/>
                <w:lang w:val="id-ID" w:eastAsia="id-ID"/>
              </w:rPr>
              <w:drawing>
                <wp:inline distT="0" distB="0" distL="0" distR="0" wp14:anchorId="45136325" wp14:editId="13CF6281">
                  <wp:extent cx="815956" cy="65995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srcRect/>
                          <a:stretch>
                            <a:fillRect/>
                          </a:stretch>
                        </pic:blipFill>
                        <pic:spPr bwMode="auto">
                          <a:xfrm>
                            <a:off x="0" y="0"/>
                            <a:ext cx="826082" cy="668148"/>
                          </a:xfrm>
                          <a:prstGeom prst="rect">
                            <a:avLst/>
                          </a:prstGeom>
                          <a:noFill/>
                          <a:ln w="9525">
                            <a:noFill/>
                            <a:miter lim="800000"/>
                            <a:headEnd/>
                            <a:tailEnd/>
                          </a:ln>
                        </pic:spPr>
                      </pic:pic>
                    </a:graphicData>
                  </a:graphic>
                </wp:inline>
              </w:drawing>
            </w:r>
          </w:p>
          <w:p w:rsidR="000B2DCF" w:rsidRPr="00C25A82" w:rsidRDefault="002A438F" w:rsidP="000305EB">
            <w:pPr>
              <w:pStyle w:val="TTPParagraphothers"/>
              <w:ind w:firstLine="0"/>
              <w:jc w:val="center"/>
              <w:rPr>
                <w:rFonts w:ascii="Times New Roman" w:hAnsi="Times New Roman"/>
                <w:sz w:val="20"/>
                <w:szCs w:val="20"/>
              </w:rPr>
            </w:pPr>
            <w:r>
              <w:rPr>
                <w:rFonts w:ascii="Times New Roman" w:hAnsi="Times New Roman"/>
                <w:sz w:val="20"/>
                <w:szCs w:val="20"/>
              </w:rPr>
              <w:t>386 MPa</w:t>
            </w:r>
          </w:p>
        </w:tc>
      </w:tr>
    </w:tbl>
    <w:p w:rsidR="00611562" w:rsidRPr="000B2DCF" w:rsidRDefault="00611562" w:rsidP="006A3608">
      <w:pPr>
        <w:pStyle w:val="TTPParagraphothers"/>
        <w:spacing w:after="120"/>
        <w:ind w:firstLine="0"/>
        <w:jc w:val="center"/>
        <w:rPr>
          <w:sz w:val="20"/>
          <w:szCs w:val="20"/>
        </w:rPr>
      </w:pPr>
      <w:r w:rsidRPr="000B2DCF">
        <w:rPr>
          <w:sz w:val="20"/>
          <w:szCs w:val="20"/>
        </w:rPr>
        <w:t xml:space="preserve">Gambar </w:t>
      </w:r>
      <w:r w:rsidR="00FB3A59">
        <w:rPr>
          <w:sz w:val="20"/>
          <w:szCs w:val="20"/>
          <w:lang w:val="id-ID"/>
        </w:rPr>
        <w:t>6</w:t>
      </w:r>
      <w:r w:rsidRPr="000B2DCF">
        <w:rPr>
          <w:sz w:val="20"/>
          <w:szCs w:val="20"/>
        </w:rPr>
        <w:t xml:space="preserve">. Hasil uji struktur mikro dengan variasi </w:t>
      </w:r>
      <w:r>
        <w:rPr>
          <w:sz w:val="20"/>
          <w:szCs w:val="20"/>
        </w:rPr>
        <w:t>tekanan kompaksi</w:t>
      </w:r>
    </w:p>
    <w:p w:rsidR="004B26C8" w:rsidRDefault="002A438F" w:rsidP="006A3608">
      <w:pPr>
        <w:pStyle w:val="TTPParagraphothers"/>
        <w:spacing w:after="120"/>
        <w:ind w:firstLine="709"/>
        <w:rPr>
          <w:lang w:val="id-ID"/>
        </w:rPr>
      </w:pPr>
      <w:r>
        <w:lastRenderedPageBreak/>
        <w:t xml:space="preserve">Berdasarkan hasil pengujian struktur mikro dan analisa </w:t>
      </w:r>
      <w:r w:rsidR="004B26C8">
        <w:rPr>
          <w:lang w:val="id-ID"/>
        </w:rPr>
        <w:t>diperoleh</w:t>
      </w:r>
      <w:r>
        <w:rPr>
          <w:lang w:val="id-ID"/>
        </w:rPr>
        <w:t xml:space="preserve"> data pada masing-masing variasi tekanan kompaksi yaitu variasi tekanan </w:t>
      </w:r>
      <w:r w:rsidR="004B26C8">
        <w:rPr>
          <w:lang w:val="id-ID"/>
        </w:rPr>
        <w:t xml:space="preserve"> </w:t>
      </w:r>
      <w:r>
        <w:rPr>
          <w:lang w:val="id-ID"/>
        </w:rPr>
        <w:t xml:space="preserve">kompaksi </w:t>
      </w:r>
      <w:r w:rsidRPr="002A438F">
        <w:t>231 MPa</w:t>
      </w:r>
      <w:r>
        <w:rPr>
          <w:lang w:val="id-ID"/>
        </w:rPr>
        <w:t xml:space="preserve"> menghasilkan persentase 28,30% pori</w:t>
      </w:r>
      <w:r w:rsidR="004B26C8">
        <w:rPr>
          <w:lang w:val="id-ID"/>
        </w:rPr>
        <w:t xml:space="preserve"> dari ukuran gambar 344 µm</w:t>
      </w:r>
      <w:r w:rsidR="004B26C8" w:rsidRPr="002C2B65">
        <w:rPr>
          <w:vertAlign w:val="superscript"/>
          <w:lang w:val="id-ID"/>
        </w:rPr>
        <w:t>2</w:t>
      </w:r>
      <w:r w:rsidR="004B26C8">
        <w:rPr>
          <w:lang w:val="id-ID"/>
        </w:rPr>
        <w:t>,</w:t>
      </w:r>
      <w:r w:rsidR="004B26C8" w:rsidRPr="002C2B65">
        <w:rPr>
          <w:lang w:val="id-ID"/>
        </w:rPr>
        <w:t xml:space="preserve"> </w:t>
      </w:r>
      <w:r w:rsidR="004B26C8">
        <w:rPr>
          <w:lang w:val="id-ID"/>
        </w:rPr>
        <w:t xml:space="preserve">ditekanan </w:t>
      </w:r>
      <w:r>
        <w:t xml:space="preserve">kompaksi 309 MPa </w:t>
      </w:r>
      <w:r w:rsidR="004B26C8">
        <w:rPr>
          <w:lang w:val="id-ID"/>
        </w:rPr>
        <w:t>d</w:t>
      </w:r>
      <w:r>
        <w:rPr>
          <w:lang w:val="id-ID"/>
        </w:rPr>
        <w:t>iperoleh persentase 20,72% pori</w:t>
      </w:r>
      <w:r w:rsidR="004B26C8">
        <w:rPr>
          <w:lang w:val="id-ID"/>
        </w:rPr>
        <w:t xml:space="preserve"> dan ditekanan </w:t>
      </w:r>
      <w:r>
        <w:rPr>
          <w:lang w:val="id-ID"/>
        </w:rPr>
        <w:t xml:space="preserve">kompaksi </w:t>
      </w:r>
      <w:r w:rsidRPr="002A438F">
        <w:t>386 MPa</w:t>
      </w:r>
      <w:r>
        <w:rPr>
          <w:lang w:val="id-ID"/>
        </w:rPr>
        <w:t xml:space="preserve"> diperoleh persentase 15,14% pori</w:t>
      </w:r>
      <w:r w:rsidR="004B26C8">
        <w:rPr>
          <w:lang w:val="id-ID"/>
        </w:rPr>
        <w:t>.</w:t>
      </w:r>
    </w:p>
    <w:p w:rsidR="000E070E" w:rsidRDefault="000E070E" w:rsidP="000E070E">
      <w:pPr>
        <w:pStyle w:val="TTPParagraphothers"/>
        <w:ind w:firstLine="0"/>
        <w:rPr>
          <w:lang w:val="id-ID"/>
        </w:rPr>
      </w:pPr>
      <w:r>
        <w:rPr>
          <w:noProof/>
          <w:lang w:val="id-ID" w:eastAsia="id-ID"/>
        </w:rPr>
        <w:drawing>
          <wp:inline distT="0" distB="0" distL="0" distR="0" wp14:anchorId="16029D19" wp14:editId="7D517E54">
            <wp:extent cx="2687540" cy="1789043"/>
            <wp:effectExtent l="0" t="0" r="0" b="190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B3A59" w:rsidRDefault="00FB3A59" w:rsidP="00264C10">
      <w:pPr>
        <w:pStyle w:val="TTPParagraphothers"/>
        <w:spacing w:after="120"/>
        <w:ind w:firstLine="0"/>
        <w:jc w:val="center"/>
        <w:rPr>
          <w:lang w:val="id-ID"/>
        </w:rPr>
      </w:pPr>
      <w:r w:rsidRPr="000B2DCF">
        <w:rPr>
          <w:sz w:val="20"/>
          <w:szCs w:val="20"/>
        </w:rPr>
        <w:t xml:space="preserve">Gambar </w:t>
      </w:r>
      <w:r>
        <w:rPr>
          <w:sz w:val="20"/>
          <w:szCs w:val="20"/>
          <w:lang w:val="id-ID"/>
        </w:rPr>
        <w:t>7</w:t>
      </w:r>
      <w:r w:rsidRPr="000B2DCF">
        <w:rPr>
          <w:sz w:val="20"/>
          <w:szCs w:val="20"/>
        </w:rPr>
        <w:t>.</w:t>
      </w:r>
      <w:r w:rsidR="00264C10">
        <w:rPr>
          <w:lang w:val="id-ID"/>
        </w:rPr>
        <w:t xml:space="preserve"> </w:t>
      </w:r>
      <w:r w:rsidR="00264C10" w:rsidRPr="000B2DCF">
        <w:rPr>
          <w:sz w:val="20"/>
          <w:szCs w:val="20"/>
        </w:rPr>
        <w:t xml:space="preserve">Variasi </w:t>
      </w:r>
      <w:r w:rsidR="00264C10">
        <w:rPr>
          <w:sz w:val="20"/>
          <w:szCs w:val="20"/>
          <w:lang w:val="id-ID"/>
        </w:rPr>
        <w:t>tekanan kompaksi terhadap persentase pori</w:t>
      </w:r>
      <w:r w:rsidR="00264C10">
        <w:rPr>
          <w:lang w:val="id-ID"/>
        </w:rPr>
        <w:t xml:space="preserve"> </w:t>
      </w:r>
    </w:p>
    <w:p w:rsidR="00611562" w:rsidRPr="00611562" w:rsidRDefault="00611562" w:rsidP="00086E26">
      <w:pPr>
        <w:pStyle w:val="TTPParagraphothers"/>
        <w:spacing w:after="120"/>
        <w:ind w:firstLine="567"/>
        <w:rPr>
          <w:bCs/>
          <w:color w:val="FF0000"/>
        </w:rPr>
      </w:pPr>
      <w:r w:rsidRPr="00AE46F2">
        <w:t xml:space="preserve">Berdasarkan hasil pengujian diperoleh kurva hasil uji </w:t>
      </w:r>
      <w:r w:rsidR="00361CF0" w:rsidRPr="00AE46F2">
        <w:t xml:space="preserve">kekuatan </w:t>
      </w:r>
      <w:r w:rsidRPr="00AE46F2">
        <w:t xml:space="preserve">tekan dengan variasi tekanan kompaksi </w:t>
      </w:r>
      <w:r w:rsidR="00086E26" w:rsidRPr="002A438F">
        <w:t>231 MPa, 309 MPa dan 386 MPa</w:t>
      </w:r>
      <w:r w:rsidRPr="00AE46F2">
        <w:t xml:space="preserve"> </w:t>
      </w:r>
      <w:r w:rsidRPr="00AE46F2">
        <w:rPr>
          <w:bCs/>
        </w:rPr>
        <w:t>seperti pada gambar berikut.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1483"/>
        <w:gridCol w:w="1391"/>
      </w:tblGrid>
      <w:tr w:rsidR="00043EB4" w:rsidRPr="00043EB4" w:rsidTr="000305EB">
        <w:tc>
          <w:tcPr>
            <w:tcW w:w="1482" w:type="dxa"/>
          </w:tcPr>
          <w:p w:rsidR="00611562" w:rsidRPr="00043EB4" w:rsidRDefault="00611562" w:rsidP="000305EB">
            <w:pPr>
              <w:pStyle w:val="TTPParagraphothers"/>
              <w:ind w:firstLine="0"/>
              <w:rPr>
                <w:rFonts w:ascii="Times New Roman" w:hAnsi="Times New Roman"/>
                <w:sz w:val="20"/>
                <w:szCs w:val="20"/>
              </w:rPr>
            </w:pPr>
            <w:r w:rsidRPr="00043EB4">
              <w:rPr>
                <w:rFonts w:ascii="Arial" w:hAnsi="Arial" w:cs="Arial"/>
                <w:noProof/>
                <w:lang w:val="id-ID" w:eastAsia="id-ID"/>
              </w:rPr>
              <w:drawing>
                <wp:inline distT="0" distB="0" distL="0" distR="0" wp14:anchorId="3A6849D6" wp14:editId="4DE5712E">
                  <wp:extent cx="946205" cy="1105231"/>
                  <wp:effectExtent l="0" t="0" r="0" b="0"/>
                  <wp:docPr id="31" name="3103b268-5b7c-41a8-a38c-ef8714e037da" descr="3103b268-5b7c-41a8-a38c-ef8714e037da">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103b268-5b7c-41a8-a38c-ef8714e037da" descr="3103b268-5b7c-41a8-a38c-ef8714e037da">
                            <a:extLst>
                              <a:ext uri="{FF2B5EF4-FFF2-40B4-BE49-F238E27FC236}">
                                <a16:creationId xmlns:ve="http://schemas.openxmlformats.org/markup-compatibility/2006"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pic:cNvPr>
                          <pic:cNvPicPr>
                            <a:picLocks noChangeAspect="1" noChangeArrowheads="1"/>
                          </pic:cNvPicPr>
                        </pic:nvPicPr>
                        <pic:blipFill>
                          <a:blip r:embed="rId25" cstate="print"/>
                          <a:srcRect/>
                          <a:stretch>
                            <a:fillRect/>
                          </a:stretch>
                        </pic:blipFill>
                        <pic:spPr bwMode="auto">
                          <a:xfrm>
                            <a:off x="0" y="0"/>
                            <a:ext cx="953154" cy="1113348"/>
                          </a:xfrm>
                          <a:prstGeom prst="rect">
                            <a:avLst/>
                          </a:prstGeom>
                          <a:noFill/>
                        </pic:spPr>
                      </pic:pic>
                    </a:graphicData>
                  </a:graphic>
                </wp:inline>
              </w:drawing>
            </w:r>
          </w:p>
          <w:p w:rsidR="00611562" w:rsidRPr="00043EB4" w:rsidRDefault="00E442B7" w:rsidP="00E442B7">
            <w:pPr>
              <w:pStyle w:val="TTPParagraphothers"/>
              <w:ind w:firstLine="0"/>
              <w:jc w:val="center"/>
              <w:rPr>
                <w:rFonts w:ascii="Times New Roman" w:hAnsi="Times New Roman"/>
                <w:sz w:val="20"/>
                <w:szCs w:val="20"/>
              </w:rPr>
            </w:pPr>
            <w:r w:rsidRPr="00E442B7">
              <w:rPr>
                <w:rFonts w:ascii="Times New Roman" w:hAnsi="Times New Roman"/>
                <w:sz w:val="20"/>
                <w:szCs w:val="20"/>
              </w:rPr>
              <w:t>231 MPa</w:t>
            </w:r>
          </w:p>
        </w:tc>
        <w:tc>
          <w:tcPr>
            <w:tcW w:w="1482" w:type="dxa"/>
          </w:tcPr>
          <w:p w:rsidR="00611562" w:rsidRPr="00043EB4" w:rsidRDefault="00611562" w:rsidP="000305EB">
            <w:pPr>
              <w:pStyle w:val="TTPParagraphothers"/>
              <w:ind w:firstLine="0"/>
              <w:rPr>
                <w:rFonts w:ascii="Times New Roman" w:hAnsi="Times New Roman"/>
                <w:sz w:val="20"/>
                <w:szCs w:val="20"/>
                <w:lang w:val="id-ID"/>
              </w:rPr>
            </w:pPr>
            <w:r w:rsidRPr="00043EB4">
              <w:rPr>
                <w:rFonts w:ascii="Arial" w:hAnsi="Arial" w:cs="Arial"/>
                <w:noProof/>
                <w:lang w:val="id-ID" w:eastAsia="id-ID"/>
              </w:rPr>
              <w:drawing>
                <wp:inline distT="0" distB="0" distL="0" distR="0" wp14:anchorId="7633D4C3" wp14:editId="3D7641FD">
                  <wp:extent cx="883772" cy="1060704"/>
                  <wp:effectExtent l="0" t="0" r="0" b="6350"/>
                  <wp:docPr id="33" name="b81c54bc-b66b-443a-a87c-30fa03dc7115" descr="b81c54bc-b66b-443a-a87c-30fa03dc7115">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81c54bc-b66b-443a-a87c-30fa03dc7115" descr="b81c54bc-b66b-443a-a87c-30fa03dc7115">
                            <a:extLst>
                              <a:ext uri="{FF2B5EF4-FFF2-40B4-BE49-F238E27FC236}">
                                <a16:creationId xmlns:ve="http://schemas.openxmlformats.org/markup-compatibility/2006"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pic:cNvPr>
                          <pic:cNvPicPr>
                            <a:picLocks noChangeAspect="1" noChangeArrowheads="1"/>
                          </pic:cNvPicPr>
                        </pic:nvPicPr>
                        <pic:blipFill>
                          <a:blip r:embed="rId26" cstate="print"/>
                          <a:srcRect/>
                          <a:stretch>
                            <a:fillRect/>
                          </a:stretch>
                        </pic:blipFill>
                        <pic:spPr bwMode="auto">
                          <a:xfrm>
                            <a:off x="0" y="0"/>
                            <a:ext cx="889009" cy="1066989"/>
                          </a:xfrm>
                          <a:prstGeom prst="rect">
                            <a:avLst/>
                          </a:prstGeom>
                          <a:noFill/>
                        </pic:spPr>
                      </pic:pic>
                    </a:graphicData>
                  </a:graphic>
                </wp:inline>
              </w:drawing>
            </w:r>
          </w:p>
          <w:p w:rsidR="00611562" w:rsidRPr="00043EB4" w:rsidRDefault="00E442B7" w:rsidP="00E442B7">
            <w:pPr>
              <w:pStyle w:val="TTPParagraphothers"/>
              <w:ind w:firstLine="0"/>
              <w:jc w:val="center"/>
              <w:rPr>
                <w:rFonts w:ascii="Times New Roman" w:hAnsi="Times New Roman"/>
                <w:sz w:val="20"/>
                <w:szCs w:val="20"/>
                <w:lang w:val="id-ID"/>
              </w:rPr>
            </w:pPr>
            <w:r w:rsidRPr="00E442B7">
              <w:rPr>
                <w:rFonts w:ascii="Times New Roman" w:hAnsi="Times New Roman"/>
                <w:sz w:val="20"/>
                <w:szCs w:val="20"/>
              </w:rPr>
              <w:t>309 MPa</w:t>
            </w:r>
          </w:p>
        </w:tc>
        <w:tc>
          <w:tcPr>
            <w:tcW w:w="1482" w:type="dxa"/>
          </w:tcPr>
          <w:p w:rsidR="00611562" w:rsidRPr="00043EB4" w:rsidRDefault="00611562" w:rsidP="000305EB">
            <w:pPr>
              <w:pStyle w:val="TTPParagraphothers"/>
              <w:ind w:firstLine="0"/>
              <w:rPr>
                <w:rFonts w:ascii="Times New Roman" w:hAnsi="Times New Roman"/>
                <w:sz w:val="20"/>
                <w:szCs w:val="20"/>
              </w:rPr>
            </w:pPr>
            <w:r w:rsidRPr="00043EB4">
              <w:rPr>
                <w:rFonts w:ascii="Arial" w:hAnsi="Arial" w:cs="Arial"/>
                <w:noProof/>
                <w:lang w:val="id-ID" w:eastAsia="id-ID"/>
              </w:rPr>
              <w:drawing>
                <wp:inline distT="0" distB="0" distL="0" distR="0" wp14:anchorId="7CCE5834" wp14:editId="131AC62B">
                  <wp:extent cx="818171" cy="1060704"/>
                  <wp:effectExtent l="0" t="0" r="1270" b="6350"/>
                  <wp:docPr id="36" name="db6f02dc-aa42-45ad-8417-4776684dc14d" descr="db6f02dc-aa42-45ad-8417-4776684dc14d">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b6f02dc-aa42-45ad-8417-4776684dc14d" descr="db6f02dc-aa42-45ad-8417-4776684dc14d">
                            <a:extLst>
                              <a:ext uri="{FF2B5EF4-FFF2-40B4-BE49-F238E27FC236}">
                                <a16:creationId xmlns:ve="http://schemas.openxmlformats.org/markup-compatibility/2006"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pic:cNvPr>
                          <pic:cNvPicPr>
                            <a:picLocks noChangeAspect="1" noChangeArrowheads="1"/>
                          </pic:cNvPicPr>
                        </pic:nvPicPr>
                        <pic:blipFill>
                          <a:blip r:embed="rId27" cstate="print"/>
                          <a:srcRect/>
                          <a:stretch>
                            <a:fillRect/>
                          </a:stretch>
                        </pic:blipFill>
                        <pic:spPr bwMode="auto">
                          <a:xfrm>
                            <a:off x="0" y="0"/>
                            <a:ext cx="823019" cy="1066989"/>
                          </a:xfrm>
                          <a:prstGeom prst="rect">
                            <a:avLst/>
                          </a:prstGeom>
                          <a:noFill/>
                        </pic:spPr>
                      </pic:pic>
                    </a:graphicData>
                  </a:graphic>
                </wp:inline>
              </w:drawing>
            </w:r>
          </w:p>
          <w:p w:rsidR="00611562" w:rsidRPr="00043EB4" w:rsidRDefault="00E442B7" w:rsidP="00E442B7">
            <w:pPr>
              <w:pStyle w:val="TTPParagraphothers"/>
              <w:ind w:firstLine="0"/>
              <w:jc w:val="center"/>
              <w:rPr>
                <w:rFonts w:ascii="Times New Roman" w:hAnsi="Times New Roman"/>
                <w:sz w:val="20"/>
                <w:szCs w:val="20"/>
              </w:rPr>
            </w:pPr>
            <w:r w:rsidRPr="00E442B7">
              <w:rPr>
                <w:rFonts w:ascii="Times New Roman" w:hAnsi="Times New Roman"/>
                <w:sz w:val="20"/>
                <w:szCs w:val="20"/>
              </w:rPr>
              <w:t>386 MPa</w:t>
            </w:r>
          </w:p>
        </w:tc>
      </w:tr>
    </w:tbl>
    <w:p w:rsidR="00611562" w:rsidRPr="00DD54CF" w:rsidRDefault="00611562" w:rsidP="00DD54CF">
      <w:pPr>
        <w:pStyle w:val="TTPParagraphothers"/>
        <w:spacing w:after="120"/>
        <w:ind w:firstLine="0"/>
        <w:jc w:val="center"/>
        <w:rPr>
          <w:sz w:val="20"/>
          <w:szCs w:val="20"/>
        </w:rPr>
      </w:pPr>
      <w:r w:rsidRPr="00043EB4">
        <w:rPr>
          <w:sz w:val="20"/>
          <w:szCs w:val="20"/>
        </w:rPr>
        <w:t xml:space="preserve">Gambar </w:t>
      </w:r>
      <w:r w:rsidR="00FB3A59">
        <w:rPr>
          <w:sz w:val="20"/>
          <w:szCs w:val="20"/>
        </w:rPr>
        <w:t>8</w:t>
      </w:r>
      <w:r w:rsidRPr="00043EB4">
        <w:rPr>
          <w:sz w:val="20"/>
          <w:szCs w:val="20"/>
        </w:rPr>
        <w:t xml:space="preserve">. </w:t>
      </w:r>
      <w:r w:rsidR="00FC6E5E" w:rsidRPr="00043EB4">
        <w:rPr>
          <w:sz w:val="20"/>
          <w:szCs w:val="20"/>
        </w:rPr>
        <w:t xml:space="preserve">Kurva </w:t>
      </w:r>
      <w:r w:rsidRPr="00043EB4">
        <w:rPr>
          <w:sz w:val="20"/>
          <w:szCs w:val="20"/>
        </w:rPr>
        <w:t xml:space="preserve">hasil uji tekan dengan variasi </w:t>
      </w:r>
      <w:r w:rsidR="00913A63" w:rsidRPr="00043EB4">
        <w:rPr>
          <w:sz w:val="20"/>
          <w:szCs w:val="20"/>
        </w:rPr>
        <w:t>tekanan kompaksi</w:t>
      </w:r>
    </w:p>
    <w:p w:rsidR="00611562" w:rsidRPr="00043EB4" w:rsidRDefault="00611562" w:rsidP="00086E26">
      <w:pPr>
        <w:pStyle w:val="TTPParagraphothers"/>
        <w:spacing w:after="120"/>
        <w:ind w:firstLine="567"/>
        <w:rPr>
          <w:bCs/>
        </w:rPr>
      </w:pPr>
      <w:r w:rsidRPr="00043EB4">
        <w:t xml:space="preserve">Berdasarkan hasil pengujian kuat tekan diperoleh dengan variasi </w:t>
      </w:r>
      <w:r w:rsidR="00913A63" w:rsidRPr="00043EB4">
        <w:t xml:space="preserve">tekanan kompaksi </w:t>
      </w:r>
      <w:r w:rsidR="00726052" w:rsidRPr="002A438F">
        <w:t>231 MPa, 309 MPa dan 386 MPa</w:t>
      </w:r>
      <w:r w:rsidR="00726052" w:rsidRPr="00043EB4">
        <w:rPr>
          <w:bCs/>
        </w:rPr>
        <w:t xml:space="preserve"> </w:t>
      </w:r>
      <w:r w:rsidRPr="00043EB4">
        <w:rPr>
          <w:bCs/>
        </w:rPr>
        <w:t>seperti pada gambar berikut.</w:t>
      </w:r>
    </w:p>
    <w:p w:rsidR="00611562" w:rsidRDefault="00913A63" w:rsidP="00611562">
      <w:pPr>
        <w:pStyle w:val="TTPParagraphothers"/>
        <w:ind w:firstLine="0"/>
      </w:pPr>
      <w:r w:rsidRPr="00C56127">
        <w:rPr>
          <w:rFonts w:ascii="Arial" w:hAnsi="Arial" w:cs="Arial"/>
          <w:noProof/>
          <w:lang w:val="id-ID" w:eastAsia="id-ID"/>
        </w:rPr>
        <w:lastRenderedPageBreak/>
        <w:drawing>
          <wp:inline distT="0" distB="0" distL="0" distR="0" wp14:anchorId="05311C18" wp14:editId="480F683C">
            <wp:extent cx="2687540" cy="1757238"/>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611562" w:rsidRPr="00FC6E5E" w:rsidRDefault="00611562" w:rsidP="00FC6E5E">
      <w:pPr>
        <w:pStyle w:val="TTPParagraphothers"/>
        <w:ind w:firstLine="0"/>
        <w:jc w:val="center"/>
        <w:rPr>
          <w:sz w:val="20"/>
          <w:szCs w:val="20"/>
        </w:rPr>
      </w:pPr>
      <w:r w:rsidRPr="00FC6E5E">
        <w:rPr>
          <w:sz w:val="20"/>
          <w:szCs w:val="20"/>
        </w:rPr>
        <w:t xml:space="preserve">Gambar </w:t>
      </w:r>
      <w:r w:rsidR="00FB3A59">
        <w:rPr>
          <w:sz w:val="20"/>
          <w:szCs w:val="20"/>
        </w:rPr>
        <w:t>9</w:t>
      </w:r>
      <w:r w:rsidRPr="00FC6E5E">
        <w:rPr>
          <w:sz w:val="20"/>
          <w:szCs w:val="20"/>
        </w:rPr>
        <w:t xml:space="preserve">. </w:t>
      </w:r>
      <w:r w:rsidR="00FC6E5E" w:rsidRPr="00FC6E5E">
        <w:rPr>
          <w:sz w:val="20"/>
          <w:szCs w:val="20"/>
        </w:rPr>
        <w:t xml:space="preserve">Hasil </w:t>
      </w:r>
      <w:r w:rsidRPr="00FC6E5E">
        <w:rPr>
          <w:sz w:val="20"/>
          <w:szCs w:val="20"/>
        </w:rPr>
        <w:t xml:space="preserve">pengujian kuat tekan dengan variasi </w:t>
      </w:r>
      <w:r w:rsidR="00913A63" w:rsidRPr="00FC6E5E">
        <w:rPr>
          <w:sz w:val="20"/>
          <w:szCs w:val="20"/>
        </w:rPr>
        <w:t>tekanan kompaksi</w:t>
      </w:r>
    </w:p>
    <w:p w:rsidR="00611562" w:rsidRDefault="00611562" w:rsidP="00611562">
      <w:pPr>
        <w:pStyle w:val="TTPParagraphothers"/>
        <w:ind w:firstLine="709"/>
      </w:pPr>
    </w:p>
    <w:p w:rsidR="00A655C2" w:rsidRPr="00273C89" w:rsidRDefault="00273C89" w:rsidP="00A655C2">
      <w:pPr>
        <w:pStyle w:val="TTPParagraphothers"/>
        <w:ind w:firstLine="567"/>
        <w:rPr>
          <w:bCs/>
        </w:rPr>
      </w:pPr>
      <w:r>
        <w:t xml:space="preserve">Berdasarkan hasil pengujian dan analisa data diketahui bahwa variasi temperatur sintering dan variasi tekanan kompaksi berpengaruh pada struktur mikro dan kekuatan tekan hasil metalurgi serbuk </w:t>
      </w:r>
      <w:r w:rsidRPr="00273C89">
        <w:t xml:space="preserve">magnesium berpori untuk aplikasi </w:t>
      </w:r>
      <w:r w:rsidRPr="00273C89">
        <w:rPr>
          <w:i/>
        </w:rPr>
        <w:t>scaffold</w:t>
      </w:r>
      <w:r w:rsidRPr="00273C89">
        <w:t xml:space="preserve"> tulang mampu terdegradasi</w:t>
      </w:r>
      <w:r w:rsidR="00036594" w:rsidRPr="002A6DEB">
        <w:t>.</w:t>
      </w:r>
      <w:r>
        <w:rPr>
          <w:b/>
          <w:bCs/>
        </w:rPr>
        <w:t xml:space="preserve"> </w:t>
      </w:r>
      <w:r>
        <w:rPr>
          <w:bCs/>
        </w:rPr>
        <w:t xml:space="preserve">Semakin tinggi temperatur sintering maka semakin tinggi kekuatan tekan yang dihasilkan. </w:t>
      </w:r>
      <w:r w:rsidR="00A655C2">
        <w:rPr>
          <w:bCs/>
        </w:rPr>
        <w:t xml:space="preserve">Selain itu, semakin tinggi variasi temperatur sintering juga menghasilkan struktur mikro dengan persentase pori yang semakin kecil. Hasil penelitian selaras dengan penelitian yang dihasilkan oleh Hamid, 2016 yaitu semakin meningkat temperatur dan waktu holding sintering dapat meningkatkan sifat mekanik </w:t>
      </w:r>
      <w:r w:rsidR="00A655C2">
        <w:t xml:space="preserve">menjadi lebik baik untuk </w:t>
      </w:r>
      <w:r w:rsidR="00A655C2" w:rsidRPr="00A655C2">
        <w:t>paduan</w:t>
      </w:r>
      <w:r w:rsidR="00A655C2">
        <w:t xml:space="preserve"> Mg-Fe-Zn</w:t>
      </w:r>
      <w:r w:rsidR="00A655C2">
        <w:rPr>
          <w:bCs/>
        </w:rPr>
        <w:t xml:space="preserve">. Persentase pori juga semakin menurun dengan peningkatan variasi temperatur dan peningkatan tekanan kompaksi. Hal ini juga selaras dengan penelitian yang dilakukan oleh Safrudin, M., dan Widyastuti, </w:t>
      </w:r>
      <w:r w:rsidR="00A655C2" w:rsidRPr="00A655C2">
        <w:rPr>
          <w:bCs/>
        </w:rPr>
        <w:t>bahwa Semakin tinggi temperatur sintering atau semakin lama waktu tahan yang diberikan maka akan diperoleh nilai sinter density yang semakin tinggi, porositas yang semakin kecil, kekerasan yang semakin tinggi, kekuatan tekan yang semakin tinggi dan modulus elastisitas yang semaki tinggi.</w:t>
      </w:r>
    </w:p>
    <w:p w:rsidR="00F30817" w:rsidRPr="002A6DEB" w:rsidRDefault="00764FEF" w:rsidP="0040261E">
      <w:pPr>
        <w:pStyle w:val="TTPSectionHeading"/>
        <w:spacing w:before="240"/>
      </w:pPr>
      <w:r w:rsidRPr="002A6DEB">
        <w:t>Kesimpulan</w:t>
      </w:r>
    </w:p>
    <w:p w:rsidR="00F30817" w:rsidRDefault="003677C8" w:rsidP="002A6DEB">
      <w:pPr>
        <w:pStyle w:val="TTPParagraphothers"/>
        <w:ind w:firstLine="709"/>
      </w:pPr>
      <w:r>
        <w:t>Dari hasil penelitian yang telah dilakukan dapat disimpulkan bahwa:</w:t>
      </w:r>
    </w:p>
    <w:p w:rsidR="003677C8" w:rsidRDefault="003677C8" w:rsidP="00E91B6D">
      <w:pPr>
        <w:pStyle w:val="TTPParagraphothers"/>
        <w:numPr>
          <w:ilvl w:val="0"/>
          <w:numId w:val="3"/>
        </w:numPr>
        <w:ind w:left="426"/>
        <w:rPr>
          <w:lang w:val="id-ID"/>
        </w:rPr>
      </w:pPr>
      <w:r>
        <w:t>Variasi temperatur sintering berpengaruh terhadap struktur mikro dan kekuatan tekan. Temperatur sintering 450</w:t>
      </w:r>
      <w:r w:rsidR="00E91B6D">
        <w:t>°</w:t>
      </w:r>
      <w:r>
        <w:t xml:space="preserve">C menghasilkan </w:t>
      </w:r>
      <w:r w:rsidR="00E91B6D">
        <w:t xml:space="preserve">struktur </w:t>
      </w:r>
      <w:r w:rsidR="00E91B6D">
        <w:lastRenderedPageBreak/>
        <w:t xml:space="preserve">mikro dan </w:t>
      </w:r>
      <w:r>
        <w:t xml:space="preserve">kekuatan tekan yaitu </w:t>
      </w:r>
      <w:r w:rsidR="00E91B6D">
        <w:rPr>
          <w:lang w:val="id-ID"/>
        </w:rPr>
        <w:t xml:space="preserve">18,86% pori dan </w:t>
      </w:r>
      <w:r w:rsidR="00E91B6D" w:rsidRPr="00E91B6D">
        <w:rPr>
          <w:lang w:val="de-DE"/>
        </w:rPr>
        <w:t>18,2</w:t>
      </w:r>
      <w:r w:rsidR="00E91B6D">
        <w:rPr>
          <w:lang w:val="id-ID"/>
        </w:rPr>
        <w:t xml:space="preserve"> MPa, sedangkan variasi temperatur sintering 350°C menghasilkan struktur mikro dan kekuatan tekan yaitu 27,90% pori dan </w:t>
      </w:r>
      <w:r w:rsidR="00E91B6D" w:rsidRPr="00E91B6D">
        <w:t>4,7</w:t>
      </w:r>
      <w:r w:rsidR="001F0DBD">
        <w:t xml:space="preserve"> MP</w:t>
      </w:r>
      <w:bookmarkStart w:id="0" w:name="_GoBack"/>
      <w:bookmarkEnd w:id="0"/>
      <w:r w:rsidR="00E91B6D">
        <w:t xml:space="preserve">a </w:t>
      </w:r>
      <w:r w:rsidR="00E91B6D" w:rsidRPr="00E91B6D">
        <w:rPr>
          <w:lang w:val="id-ID"/>
        </w:rPr>
        <w:t>serta variasi temperatur sintering 400°C</w:t>
      </w:r>
      <w:r w:rsidR="00E91B6D">
        <w:t xml:space="preserve"> menghasilkan struktur mikro dan kekuatan tekan yaitu </w:t>
      </w:r>
      <w:r w:rsidR="00E91B6D" w:rsidRPr="00E91B6D">
        <w:rPr>
          <w:lang w:val="id-ID"/>
        </w:rPr>
        <w:t>46,50% pori</w:t>
      </w:r>
      <w:r w:rsidR="00E91B6D">
        <w:t xml:space="preserve"> dan </w:t>
      </w:r>
      <w:r w:rsidR="00E91B6D" w:rsidRPr="00E91B6D">
        <w:t>8,8</w:t>
      </w:r>
      <w:r w:rsidR="00E91B6D" w:rsidRPr="00E91B6D">
        <w:rPr>
          <w:lang w:val="id-ID"/>
        </w:rPr>
        <w:t xml:space="preserve"> MPa</w:t>
      </w:r>
      <w:r w:rsidR="00E91B6D">
        <w:rPr>
          <w:lang w:val="id-ID"/>
        </w:rPr>
        <w:t>.</w:t>
      </w:r>
    </w:p>
    <w:p w:rsidR="00E91B6D" w:rsidRPr="00DF5C5E" w:rsidRDefault="00E91B6D" w:rsidP="00DF5C5E">
      <w:pPr>
        <w:pStyle w:val="TTPParagraphothers"/>
        <w:numPr>
          <w:ilvl w:val="0"/>
          <w:numId w:val="3"/>
        </w:numPr>
        <w:ind w:left="426"/>
        <w:rPr>
          <w:lang w:val="id-ID"/>
        </w:rPr>
      </w:pPr>
      <w:r w:rsidRPr="00DF5C5E">
        <w:rPr>
          <w:lang w:val="id-ID"/>
        </w:rPr>
        <w:t xml:space="preserve">Variasi tekanan kompaksi berpengaruh pada struktur mikro dan kekuatan tekan. Tekanan kompaksi </w:t>
      </w:r>
      <w:r w:rsidRPr="002A438F">
        <w:t>386 MPa</w:t>
      </w:r>
      <w:r w:rsidRPr="00DF5C5E">
        <w:rPr>
          <w:lang w:val="id-ID"/>
        </w:rPr>
        <w:t xml:space="preserve"> menghasilkan struktur mikro dan kekuatan tekan terbaik yaitu 15,14% pori dan </w:t>
      </w:r>
      <w:r w:rsidRPr="00E91B6D">
        <w:t>80,26</w:t>
      </w:r>
      <w:r>
        <w:t xml:space="preserve"> MPa.</w:t>
      </w:r>
      <w:r w:rsidRPr="00DF5C5E">
        <w:rPr>
          <w:lang w:val="id-ID"/>
        </w:rPr>
        <w:t xml:space="preserve"> Sedangkan variasi tekanan kompaksi </w:t>
      </w:r>
      <w:r w:rsidRPr="00043EB4">
        <w:t xml:space="preserve">kompaksi </w:t>
      </w:r>
      <w:r>
        <w:t xml:space="preserve">231 MPa menghasilkan struktur mikro dan kekuatan tekan yaitu </w:t>
      </w:r>
      <w:r w:rsidR="00DF5C5E" w:rsidRPr="00DF5C5E">
        <w:rPr>
          <w:lang w:val="id-ID"/>
        </w:rPr>
        <w:t>28,30% pori</w:t>
      </w:r>
      <w:r w:rsidR="00DF5C5E">
        <w:t xml:space="preserve"> dan </w:t>
      </w:r>
      <w:r w:rsidR="00DF5C5E" w:rsidRPr="00DF5C5E">
        <w:t>48,2</w:t>
      </w:r>
      <w:r w:rsidR="00DF5C5E" w:rsidRPr="00DF5C5E">
        <w:rPr>
          <w:lang w:val="id-ID"/>
        </w:rPr>
        <w:t xml:space="preserve"> MPa serta variasi </w:t>
      </w:r>
      <w:r w:rsidR="00DF5C5E">
        <w:rPr>
          <w:lang w:val="id-ID"/>
        </w:rPr>
        <w:t xml:space="preserve">tekanan kompaksi </w:t>
      </w:r>
      <w:r w:rsidRPr="002A438F">
        <w:t>309 MPa</w:t>
      </w:r>
      <w:r w:rsidR="00DF5C5E">
        <w:t xml:space="preserve"> menghasilkan struktur mikro dan kekuatan tekan yaitu </w:t>
      </w:r>
      <w:r w:rsidR="00DF5C5E">
        <w:rPr>
          <w:lang w:val="id-ID"/>
        </w:rPr>
        <w:t>20,72% pori</w:t>
      </w:r>
      <w:r w:rsidR="00DF5C5E">
        <w:t xml:space="preserve"> dan </w:t>
      </w:r>
      <w:r w:rsidR="00DF5C5E" w:rsidRPr="00DF5C5E">
        <w:t>64,5</w:t>
      </w:r>
      <w:r w:rsidR="00DF5C5E">
        <w:t xml:space="preserve"> MPa.</w:t>
      </w:r>
    </w:p>
    <w:p w:rsidR="00F30817" w:rsidRPr="002A6DEB" w:rsidRDefault="00764FEF" w:rsidP="0040261E">
      <w:pPr>
        <w:pStyle w:val="TTPSectionHeading"/>
        <w:spacing w:before="240"/>
        <w:rPr>
          <w:lang w:val="id-ID"/>
        </w:rPr>
      </w:pPr>
      <w:r w:rsidRPr="002A6DEB">
        <w:t>Referensi</w:t>
      </w:r>
    </w:p>
    <w:p w:rsidR="00513F59" w:rsidRPr="00513F59" w:rsidRDefault="00ED5EB3" w:rsidP="00513F59">
      <w:pPr>
        <w:widowControl w:val="0"/>
        <w:adjustRightInd w:val="0"/>
        <w:ind w:left="567" w:hanging="567"/>
        <w:rPr>
          <w:noProof/>
          <w:sz w:val="24"/>
          <w:szCs w:val="24"/>
        </w:rPr>
      </w:pPr>
      <w:r>
        <w:rPr>
          <w:lang w:val="id-ID" w:eastAsia="de-DE"/>
        </w:rPr>
        <w:fldChar w:fldCharType="begin" w:fldLock="1"/>
      </w:r>
      <w:r w:rsidR="00513F59">
        <w:rPr>
          <w:lang w:val="id-ID" w:eastAsia="de-DE"/>
        </w:rPr>
        <w:instrText xml:space="preserve">ADDIN Mendeley Bibliography CSL_BIBLIOGRAPHY </w:instrText>
      </w:r>
      <w:r>
        <w:rPr>
          <w:lang w:val="id-ID" w:eastAsia="de-DE"/>
        </w:rPr>
        <w:fldChar w:fldCharType="separate"/>
      </w:r>
      <w:r w:rsidR="00513F59" w:rsidRPr="00513F59">
        <w:rPr>
          <w:noProof/>
          <w:sz w:val="24"/>
          <w:szCs w:val="24"/>
        </w:rPr>
        <w:t>[1]</w:t>
      </w:r>
      <w:r w:rsidR="00513F59" w:rsidRPr="00513F59">
        <w:rPr>
          <w:noProof/>
          <w:sz w:val="24"/>
          <w:szCs w:val="24"/>
        </w:rPr>
        <w:tab/>
        <w:t xml:space="preserve">R. A. Saputra, Y. Burhanudin, M. A. Wicaksono, H. Nur, and I. Sukmana, “Pengaruh Ukuran Serbuk Terhadap Sifat Mekanik Dan Fisik Magnesium Berpori Hasil Kompaksi- Sintering Untuk Aplikasi Scaffold Tulang Mampu Pengaruh Ukuran Serbuk Terhadap Sifat Mekanik Dan Fisik Magnesium Berpori Hasil Kompaksi- Sintering Untuk Aplikasi Sca,” </w:t>
      </w:r>
      <w:r w:rsidR="00513F59" w:rsidRPr="00513F59">
        <w:rPr>
          <w:i/>
          <w:iCs/>
          <w:noProof/>
          <w:sz w:val="24"/>
          <w:szCs w:val="24"/>
        </w:rPr>
        <w:t>J. Mater.</w:t>
      </w:r>
      <w:r w:rsidR="00513F59" w:rsidRPr="00513F59">
        <w:rPr>
          <w:noProof/>
          <w:sz w:val="24"/>
          <w:szCs w:val="24"/>
        </w:rPr>
        <w:t>, vol. 10, no. 2, pp. 23–29, 2019.</w:t>
      </w:r>
    </w:p>
    <w:p w:rsidR="00513F59" w:rsidRPr="000660F4" w:rsidRDefault="00513F59" w:rsidP="00513F59">
      <w:pPr>
        <w:widowControl w:val="0"/>
        <w:adjustRightInd w:val="0"/>
        <w:ind w:left="567" w:hanging="567"/>
        <w:rPr>
          <w:noProof/>
          <w:sz w:val="24"/>
          <w:szCs w:val="24"/>
          <w:lang w:val="id-ID"/>
        </w:rPr>
      </w:pPr>
      <w:r w:rsidRPr="00513F59">
        <w:rPr>
          <w:noProof/>
          <w:sz w:val="24"/>
          <w:szCs w:val="24"/>
        </w:rPr>
        <w:t>[2]</w:t>
      </w:r>
      <w:r w:rsidRPr="00513F59">
        <w:rPr>
          <w:noProof/>
          <w:sz w:val="24"/>
          <w:szCs w:val="24"/>
        </w:rPr>
        <w:tab/>
        <w:t xml:space="preserve">A. Erryani, “Sifat Mekanik Dan Struktur Mikro Paduan Magnesium Berpori Dengan Variasi Komposisi Agen Pengembang Dan Temperatur Sinter Untuk Aplikasi Implan Mampu Luruh,” </w:t>
      </w:r>
      <w:r w:rsidRPr="00513F59">
        <w:rPr>
          <w:i/>
          <w:iCs/>
          <w:noProof/>
          <w:sz w:val="24"/>
          <w:szCs w:val="24"/>
        </w:rPr>
        <w:t>Metalurgi</w:t>
      </w:r>
      <w:r w:rsidRPr="00513F59">
        <w:rPr>
          <w:noProof/>
          <w:sz w:val="24"/>
          <w:szCs w:val="24"/>
        </w:rPr>
        <w:t>, vol. 34, no. 2, p. 61, 2019.</w:t>
      </w:r>
    </w:p>
    <w:p w:rsidR="00513F59" w:rsidRPr="00513F59" w:rsidRDefault="00513F59" w:rsidP="00513F59">
      <w:pPr>
        <w:widowControl w:val="0"/>
        <w:adjustRightInd w:val="0"/>
        <w:ind w:left="567" w:hanging="567"/>
        <w:rPr>
          <w:noProof/>
          <w:sz w:val="24"/>
          <w:szCs w:val="24"/>
        </w:rPr>
      </w:pPr>
      <w:r w:rsidRPr="00513F59">
        <w:rPr>
          <w:noProof/>
          <w:sz w:val="24"/>
          <w:szCs w:val="24"/>
        </w:rPr>
        <w:t>[3]</w:t>
      </w:r>
      <w:r w:rsidRPr="00513F59">
        <w:rPr>
          <w:noProof/>
          <w:sz w:val="24"/>
          <w:szCs w:val="24"/>
        </w:rPr>
        <w:tab/>
        <w:t xml:space="preserve">M. Safrudin and Widyastuti, “The Effect of Sintering Temperature Variations and Sintering Time on the Density and Hardness of the Mmc W-Cu Through Powder Metallurgy Process,” </w:t>
      </w:r>
      <w:r w:rsidRPr="00513F59">
        <w:rPr>
          <w:i/>
          <w:iCs/>
          <w:noProof/>
          <w:sz w:val="24"/>
          <w:szCs w:val="24"/>
        </w:rPr>
        <w:t>J. Tek. Pomits</w:t>
      </w:r>
      <w:r w:rsidRPr="00513F59">
        <w:rPr>
          <w:noProof/>
          <w:sz w:val="24"/>
          <w:szCs w:val="24"/>
        </w:rPr>
        <w:t>, vol. 3, no. 1, pp. 44–49, 2018.</w:t>
      </w:r>
    </w:p>
    <w:p w:rsidR="00513F59" w:rsidRPr="00513F59" w:rsidRDefault="00513F59" w:rsidP="00513F59">
      <w:pPr>
        <w:widowControl w:val="0"/>
        <w:adjustRightInd w:val="0"/>
        <w:ind w:left="567" w:hanging="567"/>
        <w:rPr>
          <w:noProof/>
          <w:sz w:val="24"/>
          <w:szCs w:val="24"/>
        </w:rPr>
      </w:pPr>
      <w:r w:rsidRPr="00513F59">
        <w:rPr>
          <w:noProof/>
          <w:sz w:val="24"/>
          <w:szCs w:val="24"/>
        </w:rPr>
        <w:lastRenderedPageBreak/>
        <w:t>[4]</w:t>
      </w:r>
      <w:r w:rsidRPr="00513F59">
        <w:rPr>
          <w:noProof/>
          <w:sz w:val="24"/>
          <w:szCs w:val="24"/>
        </w:rPr>
        <w:tab/>
        <w:t>SAMIR SANI ABDULMALIK and A, “EFFECT OF ZINC ADDITION ON THE PROPERTIES OF MAGNESIUM ALLOYS,” no. January, pp. 1–94, 2012.</w:t>
      </w:r>
    </w:p>
    <w:p w:rsidR="00513F59" w:rsidRPr="00513F59" w:rsidRDefault="00513F59" w:rsidP="00513F59">
      <w:pPr>
        <w:widowControl w:val="0"/>
        <w:adjustRightInd w:val="0"/>
        <w:ind w:left="567" w:hanging="567"/>
        <w:rPr>
          <w:noProof/>
          <w:sz w:val="24"/>
          <w:szCs w:val="24"/>
        </w:rPr>
      </w:pPr>
      <w:r w:rsidRPr="00513F59">
        <w:rPr>
          <w:noProof/>
          <w:sz w:val="24"/>
          <w:szCs w:val="24"/>
        </w:rPr>
        <w:t>[5]</w:t>
      </w:r>
      <w:r w:rsidRPr="00513F59">
        <w:rPr>
          <w:noProof/>
          <w:sz w:val="24"/>
          <w:szCs w:val="24"/>
        </w:rPr>
        <w:tab/>
        <w:t xml:space="preserve">H. Nurrohman, “Pengaruh Variasi Temperatur Dan Waktu Holding Sintering Terhadap Sifat Mekanik Dan Morfologi Biodegradable Material Mg-Fe-Zn Dengan Metode Metalurgi Serbuk Untuk Aplikasi Orthopedic Devices,” </w:t>
      </w:r>
      <w:r w:rsidRPr="00513F59">
        <w:rPr>
          <w:i/>
          <w:iCs/>
          <w:noProof/>
          <w:sz w:val="24"/>
          <w:szCs w:val="24"/>
        </w:rPr>
        <w:t>Int. J. Hypertens.</w:t>
      </w:r>
      <w:r w:rsidRPr="00513F59">
        <w:rPr>
          <w:noProof/>
          <w:sz w:val="24"/>
          <w:szCs w:val="24"/>
        </w:rPr>
        <w:t>, vol. 1, no. 1, pp. 1–107, 2017.</w:t>
      </w:r>
    </w:p>
    <w:p w:rsidR="00513F59" w:rsidRPr="00513F59" w:rsidRDefault="00513F59" w:rsidP="00513F59">
      <w:pPr>
        <w:widowControl w:val="0"/>
        <w:adjustRightInd w:val="0"/>
        <w:ind w:left="567" w:hanging="567"/>
        <w:rPr>
          <w:noProof/>
          <w:sz w:val="24"/>
        </w:rPr>
      </w:pPr>
      <w:r w:rsidRPr="00513F59">
        <w:rPr>
          <w:noProof/>
          <w:sz w:val="24"/>
          <w:szCs w:val="24"/>
        </w:rPr>
        <w:t>[6]</w:t>
      </w:r>
      <w:r w:rsidRPr="00513F59">
        <w:rPr>
          <w:noProof/>
          <w:sz w:val="24"/>
          <w:szCs w:val="24"/>
        </w:rPr>
        <w:tab/>
        <w:t xml:space="preserve">U. Herlina, M. Yusuf, and I. Sukmana, “Pengaruh Variasi Temperatur Sinter Terhadap Kualitas Produksi Magnesium AZ31 Dengan Tube Furnace,” </w:t>
      </w:r>
      <w:r w:rsidRPr="00513F59">
        <w:rPr>
          <w:i/>
          <w:iCs/>
          <w:noProof/>
          <w:sz w:val="24"/>
          <w:szCs w:val="24"/>
        </w:rPr>
        <w:t>JMPM (Jurnal Mater. dan Proses Manufaktur)</w:t>
      </w:r>
      <w:r w:rsidRPr="00513F59">
        <w:rPr>
          <w:noProof/>
          <w:sz w:val="24"/>
          <w:szCs w:val="24"/>
        </w:rPr>
        <w:t>, vol. 5, no. 2, pp. 147–155, 2022.</w:t>
      </w:r>
    </w:p>
    <w:p w:rsidR="001A5293" w:rsidRPr="002A6DEB" w:rsidRDefault="00ED5EB3" w:rsidP="008E6B41">
      <w:pPr>
        <w:pStyle w:val="TTPReference"/>
        <w:tabs>
          <w:tab w:val="clear" w:pos="426"/>
        </w:tabs>
        <w:spacing w:after="0" w:line="240" w:lineRule="auto"/>
        <w:ind w:left="567" w:hanging="567"/>
        <w:rPr>
          <w:lang w:val="id-ID" w:eastAsia="de-DE"/>
        </w:rPr>
      </w:pPr>
      <w:r>
        <w:rPr>
          <w:lang w:val="id-ID" w:eastAsia="de-DE"/>
        </w:rPr>
        <w:fldChar w:fldCharType="end"/>
      </w:r>
    </w:p>
    <w:sectPr w:rsidR="001A5293" w:rsidRPr="002A6DEB"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3A8" w:rsidRDefault="001B03A8">
      <w:r>
        <w:separator/>
      </w:r>
    </w:p>
  </w:endnote>
  <w:endnote w:type="continuationSeparator" w:id="0">
    <w:p w:rsidR="001B03A8" w:rsidRDefault="001B0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EB" w:rsidRDefault="000305EB">
    <w:pPr>
      <w:pStyle w:val="Footer"/>
      <w:jc w:val="right"/>
    </w:pPr>
    <w:r w:rsidRPr="00A55639">
      <w:rPr>
        <w:b/>
        <w:bCs/>
        <w:lang w:val="id-ID"/>
      </w:rPr>
      <w:t xml:space="preserve">(Jangan diubah)  </w:t>
    </w:r>
    <w:sdt>
      <w:sdtPr>
        <w:id w:val="-1155536398"/>
        <w:docPartObj>
          <w:docPartGallery w:val="Page Numbers (Bottom of Page)"/>
          <w:docPartUnique/>
        </w:docPartObj>
      </w:sdtPr>
      <w:sdtEndPr/>
      <w:sdtContent>
        <w:r>
          <w:t xml:space="preserve"> | </w:t>
        </w:r>
        <w:r w:rsidR="005B346C">
          <w:fldChar w:fldCharType="begin"/>
        </w:r>
        <w:r w:rsidR="005B346C">
          <w:instrText xml:space="preserve"> PAGE   \* MERGEFORMAT </w:instrText>
        </w:r>
        <w:r w:rsidR="005B346C">
          <w:fldChar w:fldCharType="separate"/>
        </w:r>
        <w:r w:rsidR="001F0DBD">
          <w:rPr>
            <w:noProof/>
          </w:rPr>
          <w:t>6</w:t>
        </w:r>
        <w:r w:rsidR="005B346C">
          <w:rPr>
            <w:noProof/>
          </w:rPr>
          <w:fldChar w:fldCharType="end"/>
        </w:r>
      </w:sdtContent>
    </w:sdt>
  </w:p>
  <w:p w:rsidR="000305EB" w:rsidRDefault="000305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3A8" w:rsidRDefault="001B03A8">
      <w:r>
        <w:separator/>
      </w:r>
    </w:p>
  </w:footnote>
  <w:footnote w:type="continuationSeparator" w:id="0">
    <w:p w:rsidR="001B03A8" w:rsidRDefault="001B0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EB" w:rsidRDefault="000305EB">
    <w:pPr>
      <w:pStyle w:val="Header"/>
      <w:spacing w:after="24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0305EB" w:rsidRPr="00342D39" w:rsidTr="000305EB">
      <w:trPr>
        <w:jc w:val="center"/>
      </w:trPr>
      <w:tc>
        <w:tcPr>
          <w:tcW w:w="5103" w:type="dxa"/>
          <w:hideMark/>
        </w:tcPr>
        <w:p w:rsidR="000305EB" w:rsidRPr="00342D39" w:rsidRDefault="000305EB" w:rsidP="00D93872">
          <w:pPr>
            <w:ind w:left="-108"/>
          </w:pPr>
          <w:r w:rsidRPr="00342D39">
            <w:t>T</w:t>
          </w:r>
          <w:r>
            <w:t>URBO Vol. 9 No. 1. 2020</w:t>
          </w:r>
        </w:p>
      </w:tc>
      <w:tc>
        <w:tcPr>
          <w:tcW w:w="3969" w:type="dxa"/>
          <w:hideMark/>
        </w:tcPr>
        <w:p w:rsidR="000305EB" w:rsidRPr="00342D39" w:rsidRDefault="000305EB" w:rsidP="00D93872">
          <w:pPr>
            <w:tabs>
              <w:tab w:val="right" w:pos="9072"/>
            </w:tabs>
          </w:pPr>
          <w:r w:rsidRPr="00342D39">
            <w:t>p-ISSN: 2301-6663, e-ISSN: 2477-250X</w:t>
          </w:r>
        </w:p>
      </w:tc>
    </w:tr>
    <w:tr w:rsidR="000305EB" w:rsidRPr="00342D39" w:rsidTr="000305EB">
      <w:trPr>
        <w:jc w:val="center"/>
      </w:trPr>
      <w:tc>
        <w:tcPr>
          <w:tcW w:w="5103" w:type="dxa"/>
          <w:hideMark/>
        </w:tcPr>
        <w:p w:rsidR="000305EB" w:rsidRPr="00342D39" w:rsidRDefault="000305EB"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rsidR="000305EB" w:rsidRPr="00342D39" w:rsidRDefault="000305EB" w:rsidP="00D93872">
          <w:pPr>
            <w:tabs>
              <w:tab w:val="right" w:pos="9072"/>
            </w:tabs>
          </w:pPr>
          <w:r w:rsidRPr="00342D39">
            <w:t>URL: http://ojs.ummetro.ac.id/index.php/turbo</w:t>
          </w:r>
        </w:p>
      </w:tc>
    </w:tr>
  </w:tbl>
  <w:p w:rsidR="000305EB" w:rsidRPr="00D93872" w:rsidRDefault="001B03A8"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Pr>
        <w:noProof/>
        <w:color w:val="000000"/>
        <w:lang w:val="id-ID" w:eastAsia="id-ID"/>
      </w:rPr>
      <w:pict>
        <v:line id="Straight Connector 9" o:spid="_x0000_s2050" style="position:absolute;z-index:251659264;visibility:visible;mso-wrap-distance-top:-1e-4mm;mso-wrap-distance-bottom:-1e-4mm;mso-position-horizontal-relative:text;mso-position-vertical-relative:text"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w:r>
    <w:r>
      <w:rPr>
        <w:noProof/>
        <w:color w:val="000000"/>
        <w:lang w:val="id-ID" w:eastAsia="id-ID"/>
      </w:rPr>
      <w:pict>
        <v:line id="Straight Connector 10" o:spid="_x0000_s2049" style="position:absolute;z-index:251660288;visibility:visible;mso-wrap-distance-top:-1e-4mm;mso-wrap-distance-bottom:-1e-4mm;mso-position-horizontal-relative:text;mso-position-vertical-relative:text"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6F0316AE"/>
    <w:multiLevelType w:val="hybridMultilevel"/>
    <w:tmpl w:val="1F42981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30817"/>
    <w:rsid w:val="00002163"/>
    <w:rsid w:val="00006082"/>
    <w:rsid w:val="00007382"/>
    <w:rsid w:val="000118DA"/>
    <w:rsid w:val="00015C03"/>
    <w:rsid w:val="000179F7"/>
    <w:rsid w:val="00026EEB"/>
    <w:rsid w:val="000305EB"/>
    <w:rsid w:val="00036594"/>
    <w:rsid w:val="00037A49"/>
    <w:rsid w:val="000436E5"/>
    <w:rsid w:val="00043EB4"/>
    <w:rsid w:val="00047A13"/>
    <w:rsid w:val="00053BF2"/>
    <w:rsid w:val="000633A2"/>
    <w:rsid w:val="000660F4"/>
    <w:rsid w:val="00071B2E"/>
    <w:rsid w:val="00077ADA"/>
    <w:rsid w:val="00077B79"/>
    <w:rsid w:val="000804DF"/>
    <w:rsid w:val="00086E26"/>
    <w:rsid w:val="000A3B42"/>
    <w:rsid w:val="000B2DCF"/>
    <w:rsid w:val="000C160C"/>
    <w:rsid w:val="000D565D"/>
    <w:rsid w:val="000E070E"/>
    <w:rsid w:val="000E0F19"/>
    <w:rsid w:val="000E3370"/>
    <w:rsid w:val="000E40FD"/>
    <w:rsid w:val="000E58F1"/>
    <w:rsid w:val="000F0724"/>
    <w:rsid w:val="000F4864"/>
    <w:rsid w:val="00102C0E"/>
    <w:rsid w:val="0011692C"/>
    <w:rsid w:val="001413E1"/>
    <w:rsid w:val="001553C0"/>
    <w:rsid w:val="00157157"/>
    <w:rsid w:val="001772F1"/>
    <w:rsid w:val="001910AE"/>
    <w:rsid w:val="00191D51"/>
    <w:rsid w:val="00192CBA"/>
    <w:rsid w:val="001957DE"/>
    <w:rsid w:val="001A07C9"/>
    <w:rsid w:val="001A5293"/>
    <w:rsid w:val="001B03A8"/>
    <w:rsid w:val="001B2AB7"/>
    <w:rsid w:val="001B6BC9"/>
    <w:rsid w:val="001C5B52"/>
    <w:rsid w:val="001C66D5"/>
    <w:rsid w:val="001E3336"/>
    <w:rsid w:val="001F0DBD"/>
    <w:rsid w:val="00200D90"/>
    <w:rsid w:val="002117CC"/>
    <w:rsid w:val="00217A61"/>
    <w:rsid w:val="00223F00"/>
    <w:rsid w:val="00233600"/>
    <w:rsid w:val="002347CA"/>
    <w:rsid w:val="00235825"/>
    <w:rsid w:val="0024313B"/>
    <w:rsid w:val="002510F4"/>
    <w:rsid w:val="00251A99"/>
    <w:rsid w:val="00264C10"/>
    <w:rsid w:val="00266B6B"/>
    <w:rsid w:val="00273C89"/>
    <w:rsid w:val="002837E3"/>
    <w:rsid w:val="00295485"/>
    <w:rsid w:val="002A438F"/>
    <w:rsid w:val="002A6DEB"/>
    <w:rsid w:val="002B1273"/>
    <w:rsid w:val="002B3485"/>
    <w:rsid w:val="002C1997"/>
    <w:rsid w:val="002C1E36"/>
    <w:rsid w:val="002C2B65"/>
    <w:rsid w:val="002D389A"/>
    <w:rsid w:val="002E3910"/>
    <w:rsid w:val="002F4E15"/>
    <w:rsid w:val="00311693"/>
    <w:rsid w:val="0031718F"/>
    <w:rsid w:val="00322638"/>
    <w:rsid w:val="00343CF0"/>
    <w:rsid w:val="00361CF0"/>
    <w:rsid w:val="003677C8"/>
    <w:rsid w:val="003825CD"/>
    <w:rsid w:val="0038451C"/>
    <w:rsid w:val="0039066E"/>
    <w:rsid w:val="003C2014"/>
    <w:rsid w:val="003D504F"/>
    <w:rsid w:val="003E7890"/>
    <w:rsid w:val="003F22C6"/>
    <w:rsid w:val="00401B4E"/>
    <w:rsid w:val="0040261E"/>
    <w:rsid w:val="00406AED"/>
    <w:rsid w:val="00425B16"/>
    <w:rsid w:val="00466C3B"/>
    <w:rsid w:val="00483C98"/>
    <w:rsid w:val="00493480"/>
    <w:rsid w:val="004944A6"/>
    <w:rsid w:val="0049544C"/>
    <w:rsid w:val="004B26C8"/>
    <w:rsid w:val="004B70A3"/>
    <w:rsid w:val="004C48B6"/>
    <w:rsid w:val="004D18B0"/>
    <w:rsid w:val="004D1CCD"/>
    <w:rsid w:val="004D6BFB"/>
    <w:rsid w:val="004D6C7A"/>
    <w:rsid w:val="004E3776"/>
    <w:rsid w:val="004F4391"/>
    <w:rsid w:val="004F7AE3"/>
    <w:rsid w:val="0050027D"/>
    <w:rsid w:val="00511393"/>
    <w:rsid w:val="0051319B"/>
    <w:rsid w:val="00513F59"/>
    <w:rsid w:val="0053075D"/>
    <w:rsid w:val="00532900"/>
    <w:rsid w:val="00537DB6"/>
    <w:rsid w:val="005442B9"/>
    <w:rsid w:val="00552712"/>
    <w:rsid w:val="00580DFD"/>
    <w:rsid w:val="005829C6"/>
    <w:rsid w:val="005957A9"/>
    <w:rsid w:val="005A22D8"/>
    <w:rsid w:val="005A3C18"/>
    <w:rsid w:val="005A6E99"/>
    <w:rsid w:val="005B346C"/>
    <w:rsid w:val="005B6A82"/>
    <w:rsid w:val="005D1D01"/>
    <w:rsid w:val="005D3BB8"/>
    <w:rsid w:val="005F1E23"/>
    <w:rsid w:val="00606332"/>
    <w:rsid w:val="0060737F"/>
    <w:rsid w:val="00611020"/>
    <w:rsid w:val="00611562"/>
    <w:rsid w:val="00615070"/>
    <w:rsid w:val="00621C54"/>
    <w:rsid w:val="00637202"/>
    <w:rsid w:val="006577AC"/>
    <w:rsid w:val="0066001F"/>
    <w:rsid w:val="00660A63"/>
    <w:rsid w:val="00673838"/>
    <w:rsid w:val="006827AC"/>
    <w:rsid w:val="00692651"/>
    <w:rsid w:val="006A0E53"/>
    <w:rsid w:val="006A3608"/>
    <w:rsid w:val="006A6ED6"/>
    <w:rsid w:val="006B252E"/>
    <w:rsid w:val="006B347C"/>
    <w:rsid w:val="006B4DAF"/>
    <w:rsid w:val="006B5DF6"/>
    <w:rsid w:val="006C2709"/>
    <w:rsid w:val="006D025D"/>
    <w:rsid w:val="006E2248"/>
    <w:rsid w:val="006E5365"/>
    <w:rsid w:val="00710935"/>
    <w:rsid w:val="0071668E"/>
    <w:rsid w:val="00717B6E"/>
    <w:rsid w:val="00723AE8"/>
    <w:rsid w:val="00726052"/>
    <w:rsid w:val="00735775"/>
    <w:rsid w:val="007361A9"/>
    <w:rsid w:val="007369FD"/>
    <w:rsid w:val="00751595"/>
    <w:rsid w:val="00757B53"/>
    <w:rsid w:val="007630EA"/>
    <w:rsid w:val="00764FEF"/>
    <w:rsid w:val="00766734"/>
    <w:rsid w:val="00774597"/>
    <w:rsid w:val="00775F93"/>
    <w:rsid w:val="0078288A"/>
    <w:rsid w:val="007924D0"/>
    <w:rsid w:val="0079377C"/>
    <w:rsid w:val="007A072D"/>
    <w:rsid w:val="007A1ECC"/>
    <w:rsid w:val="007A3766"/>
    <w:rsid w:val="007B149C"/>
    <w:rsid w:val="007C0D42"/>
    <w:rsid w:val="007C2E94"/>
    <w:rsid w:val="007C4583"/>
    <w:rsid w:val="007C5CDB"/>
    <w:rsid w:val="007C7D61"/>
    <w:rsid w:val="007F18B8"/>
    <w:rsid w:val="00800F74"/>
    <w:rsid w:val="00801B01"/>
    <w:rsid w:val="00805BBF"/>
    <w:rsid w:val="008065F1"/>
    <w:rsid w:val="00807385"/>
    <w:rsid w:val="008308DB"/>
    <w:rsid w:val="00835717"/>
    <w:rsid w:val="00850B18"/>
    <w:rsid w:val="00854631"/>
    <w:rsid w:val="00874B43"/>
    <w:rsid w:val="00876813"/>
    <w:rsid w:val="00880E43"/>
    <w:rsid w:val="00881AD7"/>
    <w:rsid w:val="008B1015"/>
    <w:rsid w:val="008B612C"/>
    <w:rsid w:val="008C02F3"/>
    <w:rsid w:val="008D23CC"/>
    <w:rsid w:val="008D4C48"/>
    <w:rsid w:val="008D5F72"/>
    <w:rsid w:val="008E4892"/>
    <w:rsid w:val="008E6B41"/>
    <w:rsid w:val="00913A63"/>
    <w:rsid w:val="0095042D"/>
    <w:rsid w:val="00962128"/>
    <w:rsid w:val="00963A3E"/>
    <w:rsid w:val="00970847"/>
    <w:rsid w:val="00971A7A"/>
    <w:rsid w:val="00975783"/>
    <w:rsid w:val="00983FDC"/>
    <w:rsid w:val="009A0215"/>
    <w:rsid w:val="009A59E9"/>
    <w:rsid w:val="009A5F89"/>
    <w:rsid w:val="009B1658"/>
    <w:rsid w:val="009C3704"/>
    <w:rsid w:val="009F27CA"/>
    <w:rsid w:val="00A00487"/>
    <w:rsid w:val="00A04E8E"/>
    <w:rsid w:val="00A05306"/>
    <w:rsid w:val="00A07E10"/>
    <w:rsid w:val="00A12A46"/>
    <w:rsid w:val="00A203BF"/>
    <w:rsid w:val="00A24AFB"/>
    <w:rsid w:val="00A353D7"/>
    <w:rsid w:val="00A36A0E"/>
    <w:rsid w:val="00A37610"/>
    <w:rsid w:val="00A55639"/>
    <w:rsid w:val="00A655C2"/>
    <w:rsid w:val="00A76C04"/>
    <w:rsid w:val="00A9498D"/>
    <w:rsid w:val="00AC716C"/>
    <w:rsid w:val="00AD347B"/>
    <w:rsid w:val="00AD3A4F"/>
    <w:rsid w:val="00AD4BA0"/>
    <w:rsid w:val="00AE46F2"/>
    <w:rsid w:val="00AE5FA6"/>
    <w:rsid w:val="00AF1052"/>
    <w:rsid w:val="00B11627"/>
    <w:rsid w:val="00B23B1B"/>
    <w:rsid w:val="00B35F75"/>
    <w:rsid w:val="00B43044"/>
    <w:rsid w:val="00B45EA3"/>
    <w:rsid w:val="00B47D76"/>
    <w:rsid w:val="00B56E8D"/>
    <w:rsid w:val="00B64AC4"/>
    <w:rsid w:val="00B82BC6"/>
    <w:rsid w:val="00B82E4D"/>
    <w:rsid w:val="00B84C39"/>
    <w:rsid w:val="00B8765D"/>
    <w:rsid w:val="00B92EBE"/>
    <w:rsid w:val="00B94B57"/>
    <w:rsid w:val="00BA4564"/>
    <w:rsid w:val="00BA6FC3"/>
    <w:rsid w:val="00BB5958"/>
    <w:rsid w:val="00BB60DF"/>
    <w:rsid w:val="00BC3ABB"/>
    <w:rsid w:val="00BD0743"/>
    <w:rsid w:val="00BD54EA"/>
    <w:rsid w:val="00BE10C0"/>
    <w:rsid w:val="00BF31D6"/>
    <w:rsid w:val="00C16452"/>
    <w:rsid w:val="00C23314"/>
    <w:rsid w:val="00C25A82"/>
    <w:rsid w:val="00C36DEC"/>
    <w:rsid w:val="00C37E30"/>
    <w:rsid w:val="00C42366"/>
    <w:rsid w:val="00C42F96"/>
    <w:rsid w:val="00C43386"/>
    <w:rsid w:val="00C47345"/>
    <w:rsid w:val="00C67376"/>
    <w:rsid w:val="00C7087A"/>
    <w:rsid w:val="00C83653"/>
    <w:rsid w:val="00C940C2"/>
    <w:rsid w:val="00CA59AA"/>
    <w:rsid w:val="00CB5E11"/>
    <w:rsid w:val="00CC00CA"/>
    <w:rsid w:val="00CC0CCE"/>
    <w:rsid w:val="00CD442A"/>
    <w:rsid w:val="00CE0238"/>
    <w:rsid w:val="00CE0634"/>
    <w:rsid w:val="00CE5060"/>
    <w:rsid w:val="00CF1396"/>
    <w:rsid w:val="00CF6238"/>
    <w:rsid w:val="00D05700"/>
    <w:rsid w:val="00D121D0"/>
    <w:rsid w:val="00D21AFA"/>
    <w:rsid w:val="00D22891"/>
    <w:rsid w:val="00D328CF"/>
    <w:rsid w:val="00D34097"/>
    <w:rsid w:val="00D34FE6"/>
    <w:rsid w:val="00D3599A"/>
    <w:rsid w:val="00D427B4"/>
    <w:rsid w:val="00D430B7"/>
    <w:rsid w:val="00D51186"/>
    <w:rsid w:val="00D83A32"/>
    <w:rsid w:val="00D87CE6"/>
    <w:rsid w:val="00D91DD9"/>
    <w:rsid w:val="00D93872"/>
    <w:rsid w:val="00DB1460"/>
    <w:rsid w:val="00DB55B8"/>
    <w:rsid w:val="00DB721A"/>
    <w:rsid w:val="00DC082C"/>
    <w:rsid w:val="00DD25C0"/>
    <w:rsid w:val="00DD3D57"/>
    <w:rsid w:val="00DD4B6F"/>
    <w:rsid w:val="00DD4E1D"/>
    <w:rsid w:val="00DD54CF"/>
    <w:rsid w:val="00DE05FD"/>
    <w:rsid w:val="00DE3835"/>
    <w:rsid w:val="00DE3BC5"/>
    <w:rsid w:val="00DE4B8C"/>
    <w:rsid w:val="00DE77A6"/>
    <w:rsid w:val="00DF5779"/>
    <w:rsid w:val="00DF5C5E"/>
    <w:rsid w:val="00E05C84"/>
    <w:rsid w:val="00E068AD"/>
    <w:rsid w:val="00E07C55"/>
    <w:rsid w:val="00E21A5C"/>
    <w:rsid w:val="00E23B54"/>
    <w:rsid w:val="00E442B7"/>
    <w:rsid w:val="00E44D2D"/>
    <w:rsid w:val="00E5322F"/>
    <w:rsid w:val="00E56305"/>
    <w:rsid w:val="00E56DE2"/>
    <w:rsid w:val="00E6263E"/>
    <w:rsid w:val="00E64EA6"/>
    <w:rsid w:val="00E652B6"/>
    <w:rsid w:val="00E75395"/>
    <w:rsid w:val="00E8033E"/>
    <w:rsid w:val="00E82702"/>
    <w:rsid w:val="00E91B6D"/>
    <w:rsid w:val="00E92BEF"/>
    <w:rsid w:val="00EA14ED"/>
    <w:rsid w:val="00EA3A3E"/>
    <w:rsid w:val="00EA7354"/>
    <w:rsid w:val="00EB154E"/>
    <w:rsid w:val="00EB6961"/>
    <w:rsid w:val="00ED5EB3"/>
    <w:rsid w:val="00EE0ADE"/>
    <w:rsid w:val="00F10AC2"/>
    <w:rsid w:val="00F16E30"/>
    <w:rsid w:val="00F243DD"/>
    <w:rsid w:val="00F30817"/>
    <w:rsid w:val="00F451C3"/>
    <w:rsid w:val="00F47BBB"/>
    <w:rsid w:val="00F60642"/>
    <w:rsid w:val="00F83EB3"/>
    <w:rsid w:val="00F86EAA"/>
    <w:rsid w:val="00F96D06"/>
    <w:rsid w:val="00FA14D3"/>
    <w:rsid w:val="00FB0911"/>
    <w:rsid w:val="00FB29CF"/>
    <w:rsid w:val="00FB3A59"/>
    <w:rsid w:val="00FC0727"/>
    <w:rsid w:val="00FC2A11"/>
    <w:rsid w:val="00FC333C"/>
    <w:rsid w:val="00FC5460"/>
    <w:rsid w:val="00FC6E5E"/>
    <w:rsid w:val="00FD13D6"/>
    <w:rsid w:val="00FD4398"/>
    <w:rsid w:val="00FE39F8"/>
    <w:rsid w:val="00FE5693"/>
    <w:rsid w:val="00FF1B10"/>
    <w:rsid w:val="00FF1CA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C3B"/>
    <w:pPr>
      <w:autoSpaceDE w:val="0"/>
      <w:autoSpaceDN w:val="0"/>
    </w:pPr>
    <w:rPr>
      <w:lang w:val="de-DE"/>
    </w:rPr>
  </w:style>
  <w:style w:type="paragraph" w:styleId="Heading1">
    <w:name w:val="heading 1"/>
    <w:basedOn w:val="Normal"/>
    <w:next w:val="Normal"/>
    <w:link w:val="Heading1Char"/>
    <w:uiPriority w:val="99"/>
    <w:qFormat/>
    <w:rsid w:val="00466C3B"/>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466C3B"/>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rsid w:val="00466C3B"/>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rsid w:val="00466C3B"/>
    <w:pPr>
      <w:spacing w:before="120"/>
      <w:jc w:val="center"/>
    </w:pPr>
    <w:rPr>
      <w:rFonts w:ascii="Arial" w:hAnsi="Arial" w:cs="Arial"/>
      <w:sz w:val="28"/>
      <w:szCs w:val="28"/>
      <w:lang w:val="en-US"/>
    </w:rPr>
  </w:style>
  <w:style w:type="paragraph" w:customStyle="1" w:styleId="TTPAddress">
    <w:name w:val="TTP Address"/>
    <w:basedOn w:val="Normal"/>
    <w:uiPriority w:val="99"/>
    <w:rsid w:val="00466C3B"/>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rsid w:val="00466C3B"/>
    <w:pPr>
      <w:spacing w:before="360" w:after="120"/>
      <w:jc w:val="both"/>
    </w:pPr>
    <w:rPr>
      <w:b/>
      <w:bCs/>
      <w:sz w:val="24"/>
      <w:szCs w:val="24"/>
      <w:lang w:val="en-US"/>
    </w:rPr>
  </w:style>
  <w:style w:type="paragraph" w:customStyle="1" w:styleId="TTPParagraph1st">
    <w:name w:val="TTP Paragraph (1st)"/>
    <w:basedOn w:val="Normal"/>
    <w:next w:val="TTPParagraphothers"/>
    <w:uiPriority w:val="99"/>
    <w:rsid w:val="00466C3B"/>
    <w:pPr>
      <w:jc w:val="both"/>
    </w:pPr>
    <w:rPr>
      <w:sz w:val="24"/>
      <w:szCs w:val="24"/>
      <w:lang w:val="en-US"/>
    </w:rPr>
  </w:style>
  <w:style w:type="paragraph" w:customStyle="1" w:styleId="TTPParagraphothers">
    <w:name w:val="TTP Paragraph (others)"/>
    <w:basedOn w:val="TTPParagraph1st"/>
    <w:uiPriority w:val="99"/>
    <w:rsid w:val="00466C3B"/>
    <w:pPr>
      <w:ind w:firstLine="283"/>
    </w:pPr>
  </w:style>
  <w:style w:type="paragraph" w:customStyle="1" w:styleId="TTPReference">
    <w:name w:val="TTP Reference"/>
    <w:basedOn w:val="Normal"/>
    <w:uiPriority w:val="99"/>
    <w:rsid w:val="00466C3B"/>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rsid w:val="00466C3B"/>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rsid w:val="00466C3B"/>
    <w:pPr>
      <w:spacing w:before="360"/>
      <w:jc w:val="both"/>
    </w:pPr>
    <w:rPr>
      <w:sz w:val="24"/>
      <w:szCs w:val="24"/>
      <w:lang w:val="en-US"/>
    </w:rPr>
  </w:style>
  <w:style w:type="paragraph" w:customStyle="1" w:styleId="TTPEquation">
    <w:name w:val="TTP Equation"/>
    <w:basedOn w:val="Normal"/>
    <w:next w:val="TTPParagraph1st"/>
    <w:uiPriority w:val="99"/>
    <w:rsid w:val="00466C3B"/>
    <w:pPr>
      <w:tabs>
        <w:tab w:val="right" w:pos="9923"/>
      </w:tabs>
      <w:spacing w:before="240" w:after="240"/>
      <w:ind w:left="284" w:right="-11"/>
      <w:jc w:val="both"/>
    </w:pPr>
    <w:rPr>
      <w:sz w:val="24"/>
      <w:szCs w:val="24"/>
    </w:rPr>
  </w:style>
  <w:style w:type="paragraph" w:styleId="Header">
    <w:name w:val="header"/>
    <w:basedOn w:val="Normal"/>
    <w:link w:val="HeaderChar"/>
    <w:uiPriority w:val="99"/>
    <w:rsid w:val="00466C3B"/>
    <w:pPr>
      <w:tabs>
        <w:tab w:val="center" w:pos="4536"/>
        <w:tab w:val="right" w:pos="9072"/>
      </w:tabs>
    </w:pPr>
  </w:style>
  <w:style w:type="character" w:customStyle="1" w:styleId="HeaderChar">
    <w:name w:val="Header Char"/>
    <w:link w:val="Header"/>
    <w:uiPriority w:val="99"/>
    <w:semiHidden/>
    <w:locked/>
    <w:rsid w:val="00466C3B"/>
    <w:rPr>
      <w:rFonts w:cs="Times New Roman"/>
      <w:sz w:val="20"/>
      <w:szCs w:val="20"/>
      <w:lang w:val="de-DE" w:eastAsia="en-US"/>
    </w:rPr>
  </w:style>
  <w:style w:type="paragraph" w:styleId="Footer">
    <w:name w:val="footer"/>
    <w:basedOn w:val="Normal"/>
    <w:link w:val="FooterChar"/>
    <w:uiPriority w:val="99"/>
    <w:rsid w:val="00466C3B"/>
    <w:pPr>
      <w:tabs>
        <w:tab w:val="center" w:pos="4536"/>
        <w:tab w:val="right" w:pos="9072"/>
      </w:tabs>
    </w:pPr>
  </w:style>
  <w:style w:type="character" w:customStyle="1" w:styleId="FooterChar">
    <w:name w:val="Footer Char"/>
    <w:link w:val="Footer"/>
    <w:uiPriority w:val="99"/>
    <w:locked/>
    <w:rsid w:val="00466C3B"/>
    <w:rPr>
      <w:rFonts w:cs="Times New Roman"/>
      <w:sz w:val="20"/>
      <w:szCs w:val="20"/>
      <w:lang w:val="de-DE" w:eastAsia="en-US"/>
    </w:rPr>
  </w:style>
  <w:style w:type="paragraph" w:customStyle="1" w:styleId="TTPFootnote">
    <w:name w:val="TTP Footnote"/>
    <w:basedOn w:val="TTPParagraphothers"/>
    <w:uiPriority w:val="99"/>
    <w:rsid w:val="00466C3B"/>
    <w:pPr>
      <w:pBdr>
        <w:top w:val="single" w:sz="4" w:space="5" w:color="auto"/>
      </w:pBdr>
      <w:spacing w:before="600"/>
      <w:ind w:firstLine="284"/>
    </w:pPr>
    <w:rPr>
      <w:sz w:val="22"/>
      <w:szCs w:val="22"/>
    </w:rPr>
  </w:style>
  <w:style w:type="character" w:styleId="Hyperlink">
    <w:name w:val="Hyperlink"/>
    <w:uiPriority w:val="99"/>
    <w:rsid w:val="00466C3B"/>
    <w:rPr>
      <w:rFonts w:cs="Times New Roman"/>
      <w:color w:val="0000FF"/>
      <w:u w:val="single"/>
    </w:rPr>
  </w:style>
  <w:style w:type="character" w:styleId="FollowedHyperlink">
    <w:name w:val="FollowedHyperlink"/>
    <w:uiPriority w:val="99"/>
    <w:rsid w:val="00466C3B"/>
    <w:rPr>
      <w:rFonts w:cs="Times New Roman"/>
      <w:color w:val="800080"/>
      <w:u w:val="single"/>
    </w:rPr>
  </w:style>
  <w:style w:type="paragraph" w:styleId="BalloonText">
    <w:name w:val="Balloon Text"/>
    <w:basedOn w:val="Normal"/>
    <w:link w:val="BalloonTextChar"/>
    <w:uiPriority w:val="99"/>
    <w:semiHidden/>
    <w:rsid w:val="00466C3B"/>
    <w:rPr>
      <w:rFonts w:ascii="Tahoma" w:hAnsi="Tahoma"/>
      <w:sz w:val="16"/>
      <w:szCs w:val="16"/>
    </w:rPr>
  </w:style>
  <w:style w:type="character" w:customStyle="1" w:styleId="BalloonTextChar">
    <w:name w:val="Balloon Text Char"/>
    <w:link w:val="BalloonText"/>
    <w:uiPriority w:val="99"/>
    <w:semiHidden/>
    <w:locked/>
    <w:rsid w:val="00466C3B"/>
    <w:rPr>
      <w:rFonts w:ascii="Tahoma" w:hAnsi="Tahoma" w:cs="Tahoma"/>
      <w:sz w:val="16"/>
      <w:szCs w:val="16"/>
      <w:lang w:val="de-DE" w:eastAsia="en-US"/>
    </w:rPr>
  </w:style>
  <w:style w:type="paragraph" w:styleId="FootnoteText">
    <w:name w:val="footnote text"/>
    <w:basedOn w:val="Normal"/>
    <w:link w:val="FootnoteTextChar"/>
    <w:uiPriority w:val="99"/>
    <w:semiHidden/>
    <w:rsid w:val="00466C3B"/>
  </w:style>
  <w:style w:type="character" w:customStyle="1" w:styleId="FootnoteTextChar">
    <w:name w:val="Footnote Text Char"/>
    <w:link w:val="FootnoteText"/>
    <w:uiPriority w:val="99"/>
    <w:semiHidden/>
    <w:locked/>
    <w:rsid w:val="00466C3B"/>
    <w:rPr>
      <w:rFonts w:cs="Times New Roman"/>
      <w:sz w:val="20"/>
      <w:szCs w:val="20"/>
      <w:lang w:val="de-DE" w:eastAsia="en-US"/>
    </w:rPr>
  </w:style>
  <w:style w:type="character" w:styleId="FootnoteReference">
    <w:name w:val="footnote reference"/>
    <w:uiPriority w:val="99"/>
    <w:semiHidden/>
    <w:rsid w:val="00466C3B"/>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2638"/>
    <w:pPr>
      <w:autoSpaceDE/>
      <w:autoSpaceDN/>
      <w:spacing w:before="100" w:beforeAutospacing="1" w:after="100" w:afterAutospacing="1"/>
    </w:pPr>
    <w:rPr>
      <w:sz w:val="24"/>
      <w:szCs w:val="24"/>
      <w:lang w:val="id-ID" w:eastAsia="id-ID"/>
    </w:rPr>
  </w:style>
  <w:style w:type="paragraph" w:customStyle="1" w:styleId="Default">
    <w:name w:val="Default"/>
    <w:rsid w:val="00077ADA"/>
    <w:pPr>
      <w:autoSpaceDE w:val="0"/>
      <w:autoSpaceDN w:val="0"/>
      <w:adjustRightInd w:val="0"/>
    </w:pPr>
    <w:rPr>
      <w:color w:val="000000"/>
      <w:sz w:val="24"/>
      <w:szCs w:val="24"/>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2638"/>
    <w:pPr>
      <w:autoSpaceDE/>
      <w:autoSpaceDN/>
      <w:spacing w:before="100" w:beforeAutospacing="1" w:after="100" w:afterAutospacing="1"/>
    </w:pPr>
    <w:rPr>
      <w:sz w:val="24"/>
      <w:szCs w:val="24"/>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108584">
      <w:bodyDiv w:val="1"/>
      <w:marLeft w:val="0"/>
      <w:marRight w:val="0"/>
      <w:marTop w:val="0"/>
      <w:marBottom w:val="0"/>
      <w:divBdr>
        <w:top w:val="none" w:sz="0" w:space="0" w:color="auto"/>
        <w:left w:val="none" w:sz="0" w:space="0" w:color="auto"/>
        <w:bottom w:val="none" w:sz="0" w:space="0" w:color="auto"/>
        <w:right w:val="none" w:sz="0" w:space="0" w:color="auto"/>
      </w:divBdr>
    </w:div>
    <w:div w:id="451562502">
      <w:bodyDiv w:val="1"/>
      <w:marLeft w:val="0"/>
      <w:marRight w:val="0"/>
      <w:marTop w:val="0"/>
      <w:marBottom w:val="0"/>
      <w:divBdr>
        <w:top w:val="none" w:sz="0" w:space="0" w:color="auto"/>
        <w:left w:val="none" w:sz="0" w:space="0" w:color="auto"/>
        <w:bottom w:val="none" w:sz="0" w:space="0" w:color="auto"/>
        <w:right w:val="none" w:sz="0" w:space="0" w:color="auto"/>
      </w:divBdr>
    </w:div>
    <w:div w:id="469057646">
      <w:bodyDiv w:val="1"/>
      <w:marLeft w:val="0"/>
      <w:marRight w:val="0"/>
      <w:marTop w:val="0"/>
      <w:marBottom w:val="0"/>
      <w:divBdr>
        <w:top w:val="none" w:sz="0" w:space="0" w:color="auto"/>
        <w:left w:val="none" w:sz="0" w:space="0" w:color="auto"/>
        <w:bottom w:val="none" w:sz="0" w:space="0" w:color="auto"/>
        <w:right w:val="none" w:sz="0" w:space="0" w:color="auto"/>
      </w:divBdr>
    </w:div>
    <w:div w:id="1009522697">
      <w:bodyDiv w:val="1"/>
      <w:marLeft w:val="0"/>
      <w:marRight w:val="0"/>
      <w:marTop w:val="0"/>
      <w:marBottom w:val="0"/>
      <w:divBdr>
        <w:top w:val="none" w:sz="0" w:space="0" w:color="auto"/>
        <w:left w:val="none" w:sz="0" w:space="0" w:color="auto"/>
        <w:bottom w:val="none" w:sz="0" w:space="0" w:color="auto"/>
        <w:right w:val="none" w:sz="0" w:space="0" w:color="auto"/>
      </w:divBdr>
    </w:div>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495683460">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 w:id="1727991462">
      <w:bodyDiv w:val="1"/>
      <w:marLeft w:val="0"/>
      <w:marRight w:val="0"/>
      <w:marTop w:val="0"/>
      <w:marBottom w:val="0"/>
      <w:divBdr>
        <w:top w:val="none" w:sz="0" w:space="0" w:color="auto"/>
        <w:left w:val="none" w:sz="0" w:space="0" w:color="auto"/>
        <w:bottom w:val="none" w:sz="0" w:space="0" w:color="auto"/>
        <w:right w:val="none" w:sz="0" w:space="0" w:color="auto"/>
      </w:divBdr>
    </w:div>
    <w:div w:id="1791583664">
      <w:bodyDiv w:val="1"/>
      <w:marLeft w:val="0"/>
      <w:marRight w:val="0"/>
      <w:marTop w:val="0"/>
      <w:marBottom w:val="0"/>
      <w:divBdr>
        <w:top w:val="none" w:sz="0" w:space="0" w:color="auto"/>
        <w:left w:val="none" w:sz="0" w:space="0" w:color="auto"/>
        <w:bottom w:val="none" w:sz="0" w:space="0" w:color="auto"/>
        <w:right w:val="none" w:sz="0" w:space="0" w:color="auto"/>
      </w:divBdr>
    </w:div>
    <w:div w:id="1922324042">
      <w:bodyDiv w:val="1"/>
      <w:marLeft w:val="0"/>
      <w:marRight w:val="0"/>
      <w:marTop w:val="0"/>
      <w:marBottom w:val="0"/>
      <w:divBdr>
        <w:top w:val="none" w:sz="0" w:space="0" w:color="auto"/>
        <w:left w:val="none" w:sz="0" w:space="0" w:color="auto"/>
        <w:bottom w:val="none" w:sz="0" w:space="0" w:color="auto"/>
        <w:right w:val="none" w:sz="0" w:space="0" w:color="auto"/>
      </w:divBdr>
    </w:div>
    <w:div w:id="214580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chart" Target="charts/chart4.xml"/><Relationship Id="rId10" Type="http://schemas.openxmlformats.org/officeDocument/2006/relationships/footer" Target="footer1.xm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en-US" sz="1000"/>
              <a:t>Hasil Pengujian Struktur Mikro</a:t>
            </a:r>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strRef>
              <c:f>Sheet1!$A$2:$A$4</c:f>
              <c:strCache>
                <c:ptCount val="3"/>
                <c:pt idx="0">
                  <c:v>350°C</c:v>
                </c:pt>
                <c:pt idx="1">
                  <c:v>400°C</c:v>
                </c:pt>
                <c:pt idx="2">
                  <c:v>450°C</c:v>
                </c:pt>
              </c:strCache>
            </c:strRef>
          </c:cat>
          <c:val>
            <c:numRef>
              <c:f>Sheet1!$B$2:$B$4</c:f>
              <c:numCache>
                <c:formatCode>General</c:formatCode>
                <c:ptCount val="3"/>
                <c:pt idx="0">
                  <c:v>46.5</c:v>
                </c:pt>
                <c:pt idx="1">
                  <c:v>27.9</c:v>
                </c:pt>
                <c:pt idx="2">
                  <c:v>18.86</c:v>
                </c:pt>
              </c:numCache>
            </c:numRef>
          </c:val>
        </c:ser>
        <c:dLbls>
          <c:showLegendKey val="0"/>
          <c:showVal val="0"/>
          <c:showCatName val="0"/>
          <c:showSerName val="0"/>
          <c:showPercent val="0"/>
          <c:showBubbleSize val="0"/>
        </c:dLbls>
        <c:gapWidth val="150"/>
        <c:axId val="58102528"/>
        <c:axId val="197755648"/>
      </c:barChart>
      <c:catAx>
        <c:axId val="58102528"/>
        <c:scaling>
          <c:orientation val="minMax"/>
        </c:scaling>
        <c:delete val="0"/>
        <c:axPos val="b"/>
        <c:title>
          <c:tx>
            <c:rich>
              <a:bodyPr/>
              <a:lstStyle/>
              <a:p>
                <a:pPr>
                  <a:defRPr/>
                </a:pPr>
                <a:r>
                  <a:rPr lang="id-ID"/>
                  <a:t>Variasi temperatur sintering</a:t>
                </a:r>
              </a:p>
            </c:rich>
          </c:tx>
          <c:overlay val="0"/>
        </c:title>
        <c:majorTickMark val="none"/>
        <c:minorTickMark val="none"/>
        <c:tickLblPos val="nextTo"/>
        <c:crossAx val="197755648"/>
        <c:crosses val="autoZero"/>
        <c:auto val="1"/>
        <c:lblAlgn val="ctr"/>
        <c:lblOffset val="100"/>
        <c:noMultiLvlLbl val="0"/>
      </c:catAx>
      <c:valAx>
        <c:axId val="197755648"/>
        <c:scaling>
          <c:orientation val="minMax"/>
        </c:scaling>
        <c:delete val="0"/>
        <c:axPos val="l"/>
        <c:majorGridlines/>
        <c:title>
          <c:tx>
            <c:rich>
              <a:bodyPr/>
              <a:lstStyle/>
              <a:p>
                <a:pPr>
                  <a:defRPr/>
                </a:pPr>
                <a:r>
                  <a:rPr lang="id-ID"/>
                  <a:t>Persentase pori (%)</a:t>
                </a:r>
              </a:p>
            </c:rich>
          </c:tx>
          <c:layout>
            <c:manualLayout>
              <c:xMode val="edge"/>
              <c:yMode val="edge"/>
              <c:x val="4.2529599559448419E-2"/>
              <c:y val="4.3760129659643425E-2"/>
            </c:manualLayout>
          </c:layout>
          <c:overlay val="0"/>
        </c:title>
        <c:numFmt formatCode="General" sourceLinked="1"/>
        <c:majorTickMark val="out"/>
        <c:minorTickMark val="none"/>
        <c:tickLblPos val="nextTo"/>
        <c:crossAx val="5810252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id-ID"/>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000"/>
            </a:pPr>
            <a:r>
              <a:rPr lang="en-US" sz="1000"/>
              <a:t>Hasil pengujian kekuatan Tekan </a:t>
            </a:r>
            <a:endParaRPr lang="el-GR" sz="1000"/>
          </a:p>
        </c:rich>
      </c:tx>
      <c:overlay val="0"/>
    </c:title>
    <c:autoTitleDeleted val="0"/>
    <c:plotArea>
      <c:layout/>
      <c:barChart>
        <c:barDir val="col"/>
        <c:grouping val="clustered"/>
        <c:varyColors val="0"/>
        <c:ser>
          <c:idx val="0"/>
          <c:order val="0"/>
          <c:tx>
            <c:strRef>
              <c:f>Sheet1!$B$1</c:f>
              <c:strCache>
                <c:ptCount val="1"/>
                <c:pt idx="0">
                  <c:v>Kuat Tekan (Mpa)</c:v>
                </c:pt>
              </c:strCache>
            </c:strRef>
          </c:tx>
          <c:invertIfNegative val="0"/>
          <c:cat>
            <c:strRef>
              <c:f>Sheet1!$A$2:$A$4</c:f>
              <c:strCache>
                <c:ptCount val="3"/>
                <c:pt idx="0">
                  <c:v>350°C</c:v>
                </c:pt>
                <c:pt idx="1">
                  <c:v>400°C</c:v>
                </c:pt>
                <c:pt idx="2">
                  <c:v>450°C</c:v>
                </c:pt>
              </c:strCache>
            </c:strRef>
          </c:cat>
          <c:val>
            <c:numRef>
              <c:f>Sheet1!$B$2:$B$4</c:f>
              <c:numCache>
                <c:formatCode>General</c:formatCode>
                <c:ptCount val="3"/>
                <c:pt idx="0">
                  <c:v>4.7</c:v>
                </c:pt>
                <c:pt idx="1">
                  <c:v>8.8000000000000007</c:v>
                </c:pt>
                <c:pt idx="2">
                  <c:v>18.2</c:v>
                </c:pt>
              </c:numCache>
            </c:numRef>
          </c:val>
          <c:extLst xmlns:c16r2="http://schemas.microsoft.com/office/drawing/2015/06/chart">
            <c:ext xmlns:c16="http://schemas.microsoft.com/office/drawing/2014/chart" uri="{C3380CC4-5D6E-409C-BE32-E72D297353CC}">
              <c16:uniqueId val="{00000003-2383-4CC3-82DB-F98F8D6EAFC8}"/>
            </c:ext>
          </c:extLst>
        </c:ser>
        <c:dLbls>
          <c:showLegendKey val="0"/>
          <c:showVal val="1"/>
          <c:showCatName val="0"/>
          <c:showSerName val="0"/>
          <c:showPercent val="0"/>
          <c:showBubbleSize val="0"/>
        </c:dLbls>
        <c:gapWidth val="150"/>
        <c:axId val="197773184"/>
        <c:axId val="198885376"/>
      </c:barChart>
      <c:catAx>
        <c:axId val="197773184"/>
        <c:scaling>
          <c:orientation val="minMax"/>
        </c:scaling>
        <c:delete val="0"/>
        <c:axPos val="b"/>
        <c:title>
          <c:tx>
            <c:rich>
              <a:bodyPr/>
              <a:lstStyle/>
              <a:p>
                <a:pPr>
                  <a:defRPr/>
                </a:pPr>
                <a:r>
                  <a:rPr lang="id-ID"/>
                  <a:t>Temperatur</a:t>
                </a:r>
                <a:r>
                  <a:rPr lang="id-ID" baseline="0"/>
                  <a:t> sintering</a:t>
                </a:r>
                <a:endParaRPr lang="id-ID"/>
              </a:p>
            </c:rich>
          </c:tx>
          <c:overlay val="0"/>
        </c:title>
        <c:numFmt formatCode="General" sourceLinked="0"/>
        <c:majorTickMark val="none"/>
        <c:minorTickMark val="none"/>
        <c:tickLblPos val="nextTo"/>
        <c:crossAx val="198885376"/>
        <c:crosses val="autoZero"/>
        <c:auto val="1"/>
        <c:lblAlgn val="ctr"/>
        <c:lblOffset val="100"/>
        <c:noMultiLvlLbl val="0"/>
      </c:catAx>
      <c:valAx>
        <c:axId val="198885376"/>
        <c:scaling>
          <c:orientation val="minMax"/>
        </c:scaling>
        <c:delete val="0"/>
        <c:axPos val="l"/>
        <c:majorGridlines/>
        <c:title>
          <c:tx>
            <c:rich>
              <a:bodyPr/>
              <a:lstStyle/>
              <a:p>
                <a:pPr>
                  <a:defRPr/>
                </a:pPr>
                <a:r>
                  <a:rPr lang="id-ID"/>
                  <a:t>Kekuatan Tekan (MPa)</a:t>
                </a:r>
              </a:p>
            </c:rich>
          </c:tx>
          <c:layout>
            <c:manualLayout>
              <c:xMode val="edge"/>
              <c:yMode val="edge"/>
              <c:x val="5.1911278905144027E-2"/>
              <c:y val="0.12087912087912089"/>
            </c:manualLayout>
          </c:layout>
          <c:overlay val="0"/>
        </c:title>
        <c:numFmt formatCode="General" sourceLinked="1"/>
        <c:majorTickMark val="out"/>
        <c:minorTickMark val="none"/>
        <c:tickLblPos val="nextTo"/>
        <c:crossAx val="197773184"/>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id-ID"/>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000"/>
            </a:pPr>
            <a:r>
              <a:rPr lang="en-US" sz="1000"/>
              <a:t>Hasil Pengujian Struktur Mikro</a:t>
            </a:r>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strRef>
              <c:f>Sheet1!$A$2:$A$4</c:f>
              <c:strCache>
                <c:ptCount val="3"/>
                <c:pt idx="0">
                  <c:v>231 Mpa</c:v>
                </c:pt>
                <c:pt idx="1">
                  <c:v> 309 Mpa</c:v>
                </c:pt>
                <c:pt idx="2">
                  <c:v>386 MPa</c:v>
                </c:pt>
              </c:strCache>
            </c:strRef>
          </c:cat>
          <c:val>
            <c:numRef>
              <c:f>Sheet1!$B$2:$B$4</c:f>
              <c:numCache>
                <c:formatCode>General</c:formatCode>
                <c:ptCount val="3"/>
                <c:pt idx="0">
                  <c:v>28.3</c:v>
                </c:pt>
                <c:pt idx="1">
                  <c:v>20.72</c:v>
                </c:pt>
                <c:pt idx="2">
                  <c:v>15.14</c:v>
                </c:pt>
              </c:numCache>
            </c:numRef>
          </c:val>
        </c:ser>
        <c:dLbls>
          <c:showLegendKey val="0"/>
          <c:showVal val="0"/>
          <c:showCatName val="0"/>
          <c:showSerName val="0"/>
          <c:showPercent val="0"/>
          <c:showBubbleSize val="0"/>
        </c:dLbls>
        <c:gapWidth val="150"/>
        <c:axId val="227934208"/>
        <c:axId val="227936128"/>
      </c:barChart>
      <c:catAx>
        <c:axId val="227934208"/>
        <c:scaling>
          <c:orientation val="minMax"/>
        </c:scaling>
        <c:delete val="0"/>
        <c:axPos val="b"/>
        <c:title>
          <c:tx>
            <c:rich>
              <a:bodyPr/>
              <a:lstStyle/>
              <a:p>
                <a:pPr>
                  <a:defRPr/>
                </a:pPr>
                <a:r>
                  <a:rPr lang="id-ID"/>
                  <a:t>Variasi tekanan Kompaksi</a:t>
                </a:r>
              </a:p>
            </c:rich>
          </c:tx>
          <c:overlay val="0"/>
        </c:title>
        <c:numFmt formatCode="General" sourceLinked="1"/>
        <c:majorTickMark val="none"/>
        <c:minorTickMark val="none"/>
        <c:tickLblPos val="nextTo"/>
        <c:crossAx val="227936128"/>
        <c:crosses val="autoZero"/>
        <c:auto val="1"/>
        <c:lblAlgn val="ctr"/>
        <c:lblOffset val="100"/>
        <c:noMultiLvlLbl val="0"/>
      </c:catAx>
      <c:valAx>
        <c:axId val="227936128"/>
        <c:scaling>
          <c:orientation val="minMax"/>
        </c:scaling>
        <c:delete val="0"/>
        <c:axPos val="l"/>
        <c:majorGridlines/>
        <c:title>
          <c:tx>
            <c:rich>
              <a:bodyPr/>
              <a:lstStyle/>
              <a:p>
                <a:pPr>
                  <a:defRPr/>
                </a:pPr>
                <a:r>
                  <a:rPr lang="id-ID"/>
                  <a:t>Persentase</a:t>
                </a:r>
                <a:r>
                  <a:rPr lang="id-ID" baseline="0"/>
                  <a:t> poros (%)</a:t>
                </a:r>
                <a:endParaRPr lang="id-ID"/>
              </a:p>
            </c:rich>
          </c:tx>
          <c:layout>
            <c:manualLayout>
              <c:xMode val="edge"/>
              <c:yMode val="edge"/>
              <c:x val="4.2533081285444231E-2"/>
              <c:y val="0.11301636788776305"/>
            </c:manualLayout>
          </c:layout>
          <c:overlay val="0"/>
        </c:title>
        <c:numFmt formatCode="General" sourceLinked="1"/>
        <c:majorTickMark val="out"/>
        <c:minorTickMark val="none"/>
        <c:tickLblPos val="nextTo"/>
        <c:crossAx val="22793420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id-ID"/>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000"/>
            </a:pPr>
            <a:r>
              <a:rPr lang="en-US" sz="1000"/>
              <a:t>Hasil Pengujian Kekuatan Tekan</a:t>
            </a:r>
            <a:endParaRPr lang="el-GR" sz="1000"/>
          </a:p>
        </c:rich>
      </c:tx>
      <c:overlay val="0"/>
    </c:title>
    <c:autoTitleDeleted val="0"/>
    <c:plotArea>
      <c:layout>
        <c:manualLayout>
          <c:layoutTarget val="inner"/>
          <c:xMode val="edge"/>
          <c:yMode val="edge"/>
          <c:x val="0.23867365695022214"/>
          <c:y val="0.22765840483759173"/>
          <c:w val="0.7093457213660076"/>
          <c:h val="0.47596788926862998"/>
        </c:manualLayout>
      </c:layout>
      <c:barChart>
        <c:barDir val="col"/>
        <c:grouping val="clustered"/>
        <c:varyColors val="0"/>
        <c:ser>
          <c:idx val="0"/>
          <c:order val="0"/>
          <c:tx>
            <c:strRef>
              <c:f>Sheet1!$B$1</c:f>
              <c:strCache>
                <c:ptCount val="1"/>
                <c:pt idx="0">
                  <c:v>Kuat Tekan (Mpa)</c:v>
                </c:pt>
              </c:strCache>
            </c:strRef>
          </c:tx>
          <c:invertIfNegative val="0"/>
          <c:cat>
            <c:strRef>
              <c:f>Sheet1!$A$2:$A$4</c:f>
              <c:strCache>
                <c:ptCount val="3"/>
                <c:pt idx="0">
                  <c:v>231 MPa</c:v>
                </c:pt>
                <c:pt idx="1">
                  <c:v> 309 MPa</c:v>
                </c:pt>
                <c:pt idx="2">
                  <c:v>386 MPa</c:v>
                </c:pt>
              </c:strCache>
            </c:strRef>
          </c:cat>
          <c:val>
            <c:numRef>
              <c:f>Sheet1!$B$2:$B$4</c:f>
              <c:numCache>
                <c:formatCode>General</c:formatCode>
                <c:ptCount val="3"/>
                <c:pt idx="0">
                  <c:v>48.2</c:v>
                </c:pt>
                <c:pt idx="1">
                  <c:v>64.5</c:v>
                </c:pt>
                <c:pt idx="2">
                  <c:v>80.260000000000005</c:v>
                </c:pt>
              </c:numCache>
            </c:numRef>
          </c:val>
          <c:extLst xmlns:c16r2="http://schemas.microsoft.com/office/drawing/2015/06/chart">
            <c:ext xmlns:c16="http://schemas.microsoft.com/office/drawing/2014/chart" uri="{C3380CC4-5D6E-409C-BE32-E72D297353CC}">
              <c16:uniqueId val="{00000003-8EA6-47DF-BAFC-368955736998}"/>
            </c:ext>
          </c:extLst>
        </c:ser>
        <c:dLbls>
          <c:showLegendKey val="0"/>
          <c:showVal val="1"/>
          <c:showCatName val="0"/>
          <c:showSerName val="0"/>
          <c:showPercent val="0"/>
          <c:showBubbleSize val="0"/>
        </c:dLbls>
        <c:gapWidth val="150"/>
        <c:axId val="228146176"/>
        <c:axId val="228148352"/>
      </c:barChart>
      <c:catAx>
        <c:axId val="228146176"/>
        <c:scaling>
          <c:orientation val="minMax"/>
        </c:scaling>
        <c:delete val="0"/>
        <c:axPos val="b"/>
        <c:title>
          <c:tx>
            <c:rich>
              <a:bodyPr/>
              <a:lstStyle/>
              <a:p>
                <a:pPr>
                  <a:defRPr/>
                </a:pPr>
                <a:r>
                  <a:rPr lang="id-ID"/>
                  <a:t>Tekanan kompaksi</a:t>
                </a:r>
              </a:p>
            </c:rich>
          </c:tx>
          <c:layout>
            <c:manualLayout>
              <c:xMode val="edge"/>
              <c:yMode val="edge"/>
              <c:x val="0.37603374365538905"/>
              <c:y val="0.83736899168774848"/>
            </c:manualLayout>
          </c:layout>
          <c:overlay val="0"/>
        </c:title>
        <c:numFmt formatCode="General" sourceLinked="0"/>
        <c:majorTickMark val="none"/>
        <c:minorTickMark val="none"/>
        <c:tickLblPos val="nextTo"/>
        <c:crossAx val="228148352"/>
        <c:crosses val="autoZero"/>
        <c:auto val="1"/>
        <c:lblAlgn val="ctr"/>
        <c:lblOffset val="100"/>
        <c:noMultiLvlLbl val="0"/>
      </c:catAx>
      <c:valAx>
        <c:axId val="228148352"/>
        <c:scaling>
          <c:orientation val="minMax"/>
        </c:scaling>
        <c:delete val="0"/>
        <c:axPos val="l"/>
        <c:majorGridlines/>
        <c:title>
          <c:tx>
            <c:rich>
              <a:bodyPr/>
              <a:lstStyle/>
              <a:p>
                <a:pPr>
                  <a:defRPr/>
                </a:pPr>
                <a:r>
                  <a:rPr lang="id-ID"/>
                  <a:t>Kekuatan tekan (Mpa)</a:t>
                </a:r>
              </a:p>
            </c:rich>
          </c:tx>
          <c:layout>
            <c:manualLayout>
              <c:xMode val="edge"/>
              <c:yMode val="edge"/>
              <c:x val="4.2583392476933997E-2"/>
              <c:y val="0.1699298115995567"/>
            </c:manualLayout>
          </c:layout>
          <c:overlay val="0"/>
        </c:title>
        <c:numFmt formatCode="General" sourceLinked="1"/>
        <c:majorTickMark val="out"/>
        <c:minorTickMark val="none"/>
        <c:tickLblPos val="nextTo"/>
        <c:crossAx val="228146176"/>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id-ID"/>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E5815-8571-461E-9D85-18AB44C29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7</Pages>
  <Words>4686</Words>
  <Characters>26714</Characters>
  <Application>Microsoft Office Word</Application>
  <DocSecurity>0</DocSecurity>
  <Lines>222</Lines>
  <Paragraphs>62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31338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creator>IYAN</dc:creator>
  <cp:lastModifiedBy>Acer</cp:lastModifiedBy>
  <cp:revision>77</cp:revision>
  <cp:lastPrinted>2013-08-22T07:17:00Z</cp:lastPrinted>
  <dcterms:created xsi:type="dcterms:W3CDTF">2022-12-01T04:57:00Z</dcterms:created>
  <dcterms:modified xsi:type="dcterms:W3CDTF">2022-12-12T02:08:00Z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9238f87f-e1f9-3bc7-8757-060afffecc81</vt:lpwstr>
  </property>
  <property fmtid="{D5CDD505-2E9C-101B-9397-08002B2CF9AE}" pid="24" name="Mendeley Citation Style_1">
    <vt:lpwstr>http://www.zotero.org/styles/ieee</vt:lpwstr>
  </property>
</Properties>
</file>