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063611" w14:paraId="1528A69B" w14:textId="79D240E4">
      <w:pPr>
        <w:tabs>
          <w:tab w:val="left" w:pos="5356"/>
        </w:tabs>
        <w:spacing w:before="73"/>
        <w:ind w:left="146"/>
        <w:rPr>
          <w:sz w:val="20"/>
        </w:rPr>
      </w:pPr>
      <w:r>
        <w:rPr>
          <w:sz w:val="20"/>
        </w:rPr>
        <w:t>TURBO</w:t>
      </w:r>
      <w:r>
        <w:rPr>
          <w:spacing w:val="-3"/>
          <w:sz w:val="20"/>
        </w:rPr>
        <w:t xml:space="preserve"> </w:t>
      </w:r>
      <w:r>
        <w:rPr>
          <w:sz w:val="20"/>
        </w:rPr>
        <w:t>Vol.</w:t>
      </w:r>
      <w:r>
        <w:rPr>
          <w:spacing w:val="-4"/>
          <w:sz w:val="20"/>
        </w:rPr>
        <w:t xml:space="preserve"> </w:t>
      </w:r>
      <w:r w:rsidR="0007113B">
        <w:rPr>
          <w:spacing w:val="-4"/>
          <w:sz w:val="20"/>
        </w:rPr>
        <w:t>…</w:t>
      </w:r>
      <w:r>
        <w:rPr>
          <w:spacing w:val="-5"/>
          <w:sz w:val="20"/>
        </w:rPr>
        <w:t xml:space="preserve"> </w:t>
      </w:r>
      <w:r>
        <w:rPr>
          <w:sz w:val="20"/>
        </w:rPr>
        <w:t>No.</w:t>
      </w:r>
      <w:r>
        <w:rPr>
          <w:spacing w:val="1"/>
          <w:sz w:val="20"/>
        </w:rPr>
        <w:t xml:space="preserve"> </w:t>
      </w:r>
      <w:r w:rsidR="0007113B">
        <w:rPr>
          <w:spacing w:val="1"/>
          <w:sz w:val="20"/>
        </w:rPr>
        <w:t>…</w:t>
      </w:r>
      <w:r>
        <w:rPr>
          <w:sz w:val="20"/>
        </w:rPr>
        <w:t>.</w:t>
      </w:r>
      <w:r>
        <w:rPr>
          <w:spacing w:val="-3"/>
          <w:sz w:val="20"/>
        </w:rPr>
        <w:t xml:space="preserve"> </w:t>
      </w:r>
      <w:r>
        <w:rPr>
          <w:spacing w:val="-4"/>
          <w:sz w:val="20"/>
        </w:rPr>
        <w:t>202</w:t>
      </w:r>
      <w:r w:rsidR="0007113B">
        <w:rPr>
          <w:spacing w:val="-4"/>
          <w:sz w:val="20"/>
        </w:rPr>
        <w:t>…</w:t>
      </w:r>
      <w:r>
        <w:rPr>
          <w:sz w:val="20"/>
        </w:rPr>
        <w:tab/>
        <w:t>p-ISSN:</w:t>
      </w:r>
      <w:r>
        <w:rPr>
          <w:spacing w:val="-8"/>
          <w:sz w:val="20"/>
        </w:rPr>
        <w:t xml:space="preserve"> </w:t>
      </w:r>
      <w:r>
        <w:rPr>
          <w:sz w:val="20"/>
        </w:rPr>
        <w:t>2301-6663,</w:t>
      </w:r>
      <w:r>
        <w:rPr>
          <w:spacing w:val="-8"/>
          <w:sz w:val="20"/>
        </w:rPr>
        <w:t xml:space="preserve"> </w:t>
      </w:r>
      <w:r>
        <w:rPr>
          <w:sz w:val="20"/>
        </w:rPr>
        <w:t>e-ISSN:</w:t>
      </w:r>
      <w:r>
        <w:rPr>
          <w:spacing w:val="-9"/>
          <w:sz w:val="20"/>
        </w:rPr>
        <w:t xml:space="preserve"> </w:t>
      </w:r>
      <w:r>
        <w:rPr>
          <w:sz w:val="20"/>
        </w:rPr>
        <w:t>2477-</w:t>
      </w:r>
      <w:r>
        <w:rPr>
          <w:spacing w:val="-4"/>
          <w:sz w:val="20"/>
        </w:rPr>
        <w:t>250X</w:t>
      </w:r>
    </w:p>
    <w:p w:rsidR="00063611" w14:paraId="538C5722" w14:textId="77777777">
      <w:pPr>
        <w:tabs>
          <w:tab w:val="left" w:pos="5356"/>
        </w:tabs>
        <w:ind w:left="146"/>
        <w:rPr>
          <w:sz w:val="20"/>
        </w:rPr>
      </w:pPr>
      <w:r>
        <w:rPr>
          <w:sz w:val="20"/>
        </w:rPr>
        <w:t>Jurnal</w:t>
      </w:r>
      <w:r>
        <w:rPr>
          <w:spacing w:val="-5"/>
          <w:sz w:val="20"/>
        </w:rPr>
        <w:t xml:space="preserve"> </w:t>
      </w:r>
      <w:r>
        <w:rPr>
          <w:sz w:val="20"/>
        </w:rPr>
        <w:t>Program</w:t>
      </w:r>
      <w:r>
        <w:rPr>
          <w:spacing w:val="-5"/>
          <w:sz w:val="20"/>
        </w:rPr>
        <w:t xml:space="preserve"> </w:t>
      </w:r>
      <w:r>
        <w:rPr>
          <w:sz w:val="20"/>
        </w:rPr>
        <w:t>Studi</w:t>
      </w:r>
      <w:r>
        <w:rPr>
          <w:spacing w:val="-4"/>
          <w:sz w:val="20"/>
        </w:rPr>
        <w:t xml:space="preserve"> </w:t>
      </w:r>
      <w:r>
        <w:rPr>
          <w:sz w:val="20"/>
        </w:rPr>
        <w:t>Teknik</w:t>
      </w:r>
      <w:r>
        <w:rPr>
          <w:spacing w:val="-6"/>
          <w:sz w:val="20"/>
        </w:rPr>
        <w:t xml:space="preserve"> </w:t>
      </w:r>
      <w:r>
        <w:rPr>
          <w:sz w:val="20"/>
        </w:rPr>
        <w:t>Mesin</w:t>
      </w:r>
      <w:r>
        <w:rPr>
          <w:spacing w:val="-7"/>
          <w:sz w:val="20"/>
        </w:rPr>
        <w:t xml:space="preserve"> </w:t>
      </w:r>
      <w:r>
        <w:rPr>
          <w:sz w:val="20"/>
        </w:rPr>
        <w:t>UM</w:t>
      </w:r>
      <w:r>
        <w:rPr>
          <w:spacing w:val="-3"/>
          <w:sz w:val="20"/>
        </w:rPr>
        <w:t xml:space="preserve"> </w:t>
      </w:r>
      <w:r>
        <w:rPr>
          <w:spacing w:val="-4"/>
          <w:sz w:val="20"/>
        </w:rPr>
        <w:t>Metro</w:t>
      </w:r>
      <w:r>
        <w:rPr>
          <w:sz w:val="20"/>
        </w:rPr>
        <w:tab/>
        <w:t>URL:</w:t>
      </w:r>
      <w:r>
        <w:rPr>
          <w:spacing w:val="-4"/>
          <w:sz w:val="20"/>
        </w:rPr>
        <w:t xml:space="preserve"> </w:t>
      </w:r>
      <w:hyperlink r:id="rId5">
        <w:r>
          <w:rPr>
            <w:spacing w:val="-2"/>
            <w:sz w:val="20"/>
          </w:rPr>
          <w:t>http://ojs.ummetro.ac.id/index.php/turbo</w:t>
        </w:r>
      </w:hyperlink>
    </w:p>
    <w:p w:rsidR="00063611" w14:paraId="49F7907D" w14:textId="77777777">
      <w:pPr>
        <w:pStyle w:val="BodyText"/>
        <w:spacing w:before="10"/>
        <w:jc w:val="left"/>
        <w:rPr>
          <w:sz w:val="4"/>
        </w:rPr>
      </w:pPr>
      <w:r>
        <w:rPr>
          <w:noProof/>
          <w:sz w:val="4"/>
        </w:rPr>
        <mc:AlternateContent>
          <mc:Choice Requires="wpg">
            <w:drawing>
              <wp:anchor distT="0" distB="0" distL="0" distR="0" simplePos="0" relativeHeight="251668480" behindDoc="1" locked="0" layoutInCell="1" allowOverlap="1">
                <wp:simplePos x="0" y="0"/>
                <wp:positionH relativeFrom="page">
                  <wp:posOffset>895350</wp:posOffset>
                </wp:positionH>
                <wp:positionV relativeFrom="paragraph">
                  <wp:posOffset>51523</wp:posOffset>
                </wp:positionV>
                <wp:extent cx="5734050" cy="55880"/>
                <wp:effectExtent l="0" t="0" r="0" b="0"/>
                <wp:wrapTopAndBottom/>
                <wp:docPr id="3"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5734050" cy="55880"/>
                          <a:chOff x="0" y="0"/>
                          <a:chExt cx="5734050" cy="55880"/>
                        </a:xfrm>
                      </wpg:grpSpPr>
                      <wps:wsp xmlns:wps="http://schemas.microsoft.com/office/word/2010/wordprocessingShape">
                        <wps:cNvPr id="4" name="Graphic 4"/>
                        <wps:cNvSpPr/>
                        <wps:spPr>
                          <a:xfrm>
                            <a:off x="0" y="14287"/>
                            <a:ext cx="5734050" cy="1270"/>
                          </a:xfrm>
                          <a:custGeom>
                            <a:avLst/>
                            <a:gdLst/>
                            <a:rect l="l" t="t" r="r" b="b"/>
                            <a:pathLst>
                              <a:path fill="norm" w="5734050" stroke="1">
                                <a:moveTo>
                                  <a:pt x="0" y="0"/>
                                </a:moveTo>
                                <a:lnTo>
                                  <a:pt x="5734050" y="0"/>
                                </a:lnTo>
                              </a:path>
                            </a:pathLst>
                          </a:custGeom>
                          <a:ln w="28575">
                            <a:solidFill>
                              <a:srgbClr val="EC7C30"/>
                            </a:solidFill>
                            <a:prstDash val="solid"/>
                          </a:ln>
                        </wps:spPr>
                        <wps:bodyPr wrap="square" lIns="0" tIns="0" rIns="0" bIns="0" rtlCol="0">
                          <a:prstTxWarp prst="textNoShape">
                            <a:avLst/>
                          </a:prstTxWarp>
                        </wps:bodyPr>
                      </wps:wsp>
                      <wps:wsp xmlns:wps="http://schemas.microsoft.com/office/word/2010/wordprocessingShape">
                        <wps:cNvPr id="5" name="Graphic 5"/>
                        <wps:cNvSpPr/>
                        <wps:spPr>
                          <a:xfrm>
                            <a:off x="0" y="52387"/>
                            <a:ext cx="5734050" cy="1270"/>
                          </a:xfrm>
                          <a:custGeom>
                            <a:avLst/>
                            <a:gdLst/>
                            <a:rect l="l" t="t" r="r" b="b"/>
                            <a:pathLst>
                              <a:path fill="norm" w="5734050" stroke="1">
                                <a:moveTo>
                                  <a:pt x="0" y="0"/>
                                </a:moveTo>
                                <a:lnTo>
                                  <a:pt x="5734050" y="0"/>
                                </a:lnTo>
                              </a:path>
                            </a:pathLst>
                          </a:custGeom>
                          <a:ln w="6350">
                            <a:solidFill>
                              <a:srgbClr val="EC7C30"/>
                            </a:solidFill>
                            <a:prstDash val="solid"/>
                          </a:ln>
                        </wps:spPr>
                        <wps:bodyPr wrap="square" lIns="0" tIns="0" rIns="0" bIns="0" rtlCol="0">
                          <a:prstTxWarp prst="textNoShape">
                            <a:avLst/>
                          </a:prstTxWarp>
                        </wps:bodyPr>
                      </wps:wsp>
                    </wpg:wgp>
                  </a:graphicData>
                </a:graphic>
              </wp:anchor>
            </w:drawing>
          </mc:Choice>
          <mc:Fallback>
            <w:pict>
              <v:group id="Group 3" o:spid="_x0000_s1025" style="width:451.5pt;height:4.4pt;margin-top:4.05pt;margin-left:70.5pt;mso-position-horizontal-relative:page;mso-wrap-distance-left:0;mso-wrap-distance-right:0;position:absolute;z-index:-251646976" coordsize="57340,558">
                <v:shape id="Graphic 4" o:spid="_x0000_s1026" style="width:57340;height:13;mso-wrap-style:square;position:absolute;top:142;v-text-anchor:top;visibility:visible" coordsize="5734050,1270" path="m,l5734050,e" filled="f" strokecolor="#ec7c30" strokeweight="2.25pt">
                  <v:path arrowok="t"/>
                </v:shape>
                <v:shape id="Graphic 5" o:spid="_x0000_s1027" style="width:57340;height:13;mso-wrap-style:square;position:absolute;top:523;v-text-anchor:top;visibility:visible" coordsize="5734050,1270" path="m,l5734050,e" filled="f" strokecolor="#ec7c30" strokeweight="0.5pt">
                  <v:path arrowok="t"/>
                </v:shape>
                <w10:wrap type="topAndBottom"/>
              </v:group>
            </w:pict>
          </mc:Fallback>
        </mc:AlternateContent>
      </w:r>
    </w:p>
    <w:p w:rsidR="00063611" w:rsidRPr="00F827CC" w14:paraId="396EDCC8" w14:textId="1B0DC202">
      <w:pPr>
        <w:pStyle w:val="Title"/>
      </w:pPr>
      <w:r w:rsidRPr="00F827CC">
        <w:rPr>
          <w:iCs/>
          <w:lang w:val="id"/>
        </w:rPr>
        <w:t>Optimasi Performa Kompor Oli Bekas dengan Variasi Jenis Bahan Bakar dan Sistem</w:t>
      </w:r>
      <w:r w:rsidRPr="00F827CC">
        <w:rPr>
          <w:i/>
          <w:lang w:val="id"/>
        </w:rPr>
        <w:t xml:space="preserve"> Preheating</w:t>
      </w:r>
    </w:p>
    <w:p w:rsidR="00063611" w:rsidRPr="00F827CC" w14:paraId="6D18C889" w14:textId="2CB6378D">
      <w:pPr>
        <w:pStyle w:val="Heading1"/>
        <w:spacing w:before="239"/>
        <w:ind w:left="329" w:right="462"/>
        <w:jc w:val="center"/>
        <w:rPr>
          <w:rFonts w:ascii="Arial" w:hAnsi="Arial"/>
        </w:rPr>
      </w:pPr>
      <w:r w:rsidRPr="00F827CC">
        <w:rPr>
          <w:rFonts w:ascii="Arial" w:hAnsi="Arial"/>
        </w:rPr>
        <w:t>Sudarno</w:t>
      </w:r>
      <w:r w:rsidRPr="00F827CC">
        <w:rPr>
          <w:rFonts w:ascii="Arial" w:hAnsi="Arial"/>
          <w:vertAlign w:val="superscript"/>
        </w:rPr>
        <w:t>1</w:t>
      </w:r>
      <w:r w:rsidR="0007113B">
        <w:rPr>
          <w:rFonts w:ascii="Arial" w:hAnsi="Arial"/>
          <w:vertAlign w:val="superscript"/>
        </w:rPr>
        <w:t>,2</w:t>
      </w:r>
      <w:r w:rsidRPr="00F827CC">
        <w:rPr>
          <w:rFonts w:ascii="Arial" w:hAnsi="Arial"/>
          <w:vertAlign w:val="superscript"/>
        </w:rPr>
        <w:t>*</w:t>
      </w:r>
      <w:r w:rsidRPr="00F827CC">
        <w:rPr>
          <w:rFonts w:ascii="Arial" w:hAnsi="Arial"/>
        </w:rPr>
        <w:t>,</w:t>
      </w:r>
      <w:r w:rsidRPr="00F827CC">
        <w:rPr>
          <w:rFonts w:ascii="Arial" w:hAnsi="Arial"/>
          <w:spacing w:val="-5"/>
        </w:rPr>
        <w:t xml:space="preserve"> Nurul Sri Wahyuni</w:t>
      </w:r>
      <w:r w:rsidR="0007113B">
        <w:rPr>
          <w:rFonts w:ascii="Arial" w:hAnsi="Arial"/>
          <w:vertAlign w:val="superscript"/>
        </w:rPr>
        <w:t>3</w:t>
      </w:r>
      <w:r w:rsidR="00F827CC">
        <w:rPr>
          <w:rFonts w:ascii="Arial" w:hAnsi="Arial"/>
        </w:rPr>
        <w:t xml:space="preserve">, </w:t>
      </w:r>
      <w:r w:rsidRPr="00F827CC" w:rsidR="00F827CC">
        <w:rPr>
          <w:rFonts w:ascii="Arial" w:hAnsi="Arial"/>
          <w:lang w:val="id"/>
        </w:rPr>
        <w:t>Arya Eka Rahmatulloh</w:t>
      </w:r>
      <w:r w:rsidRPr="00DE5E99" w:rsidR="00DE5E99">
        <w:rPr>
          <w:rFonts w:ascii="Arial" w:hAnsi="Arial"/>
          <w:vertAlign w:val="superscript"/>
          <w:lang w:val="id"/>
        </w:rPr>
        <w:t>1</w:t>
      </w:r>
    </w:p>
    <w:p w:rsidR="00063611" w:rsidRPr="00F827CC" w14:paraId="17824EF1" w14:textId="209E1FB1">
      <w:pPr>
        <w:spacing w:before="2"/>
        <w:ind w:left="321" w:right="463"/>
        <w:jc w:val="center"/>
      </w:pPr>
    </w:p>
    <w:p w:rsidR="00C56F04" w:rsidRPr="00F827CC" w:rsidP="00C56F04" w14:paraId="510CCBC7" w14:textId="2FF7A1AB">
      <w:pPr>
        <w:spacing w:before="2"/>
        <w:ind w:left="321" w:right="463"/>
        <w:jc w:val="center"/>
        <w:rPr>
          <w:rFonts w:ascii="Arial MT"/>
        </w:rPr>
      </w:pPr>
      <w:r w:rsidRPr="00F827CC">
        <w:rPr>
          <w:rFonts w:ascii="Arial MT"/>
          <w:vertAlign w:val="superscript"/>
        </w:rPr>
        <w:t>1</w:t>
      </w:r>
      <w:r w:rsidRPr="00F827CC">
        <w:rPr>
          <w:rFonts w:ascii="Arial MT"/>
        </w:rPr>
        <w:t>Program Studi Teknik Mesin, Fakultas Teknik, Universitas Muhammadiyah Ponorogo</w:t>
      </w:r>
    </w:p>
    <w:p w:rsidR="00C56F04" w:rsidP="00C56F04" w14:paraId="72F273DC" w14:textId="627B29C5">
      <w:pPr>
        <w:spacing w:before="2"/>
        <w:ind w:left="321" w:right="463"/>
        <w:jc w:val="center"/>
        <w:rPr>
          <w:rFonts w:ascii="Arial MT"/>
        </w:rPr>
      </w:pPr>
      <w:r w:rsidRPr="00F827CC">
        <w:rPr>
          <w:rFonts w:ascii="Arial MT"/>
        </w:rPr>
        <w:t>Jl. Budi Utomo No 10 Ponorogo, Indonesia</w:t>
      </w:r>
    </w:p>
    <w:p w:rsidR="0007113B" w:rsidRPr="00F827CC" w:rsidP="00C56F04" w14:paraId="28FA1C28" w14:textId="05F5E8C1">
      <w:pPr>
        <w:spacing w:before="2"/>
        <w:ind w:left="321" w:right="463"/>
        <w:jc w:val="center"/>
        <w:rPr>
          <w:rFonts w:ascii="Arial MT"/>
        </w:rPr>
      </w:pPr>
      <w:r>
        <w:rPr>
          <w:rFonts w:ascii="Arial MT"/>
          <w:vertAlign w:val="superscript"/>
        </w:rPr>
        <w:t>2</w:t>
      </w:r>
      <w:r>
        <w:rPr>
          <w:rFonts w:ascii="Arial MT"/>
        </w:rPr>
        <w:t xml:space="preserve">Lembaga Penelitian dan Pengabdian kepada Masyarakat </w:t>
      </w:r>
      <w:r w:rsidRPr="00F827CC">
        <w:rPr>
          <w:rFonts w:ascii="Arial MT"/>
        </w:rPr>
        <w:t>Universitas Muhammadiyah Ponorogo</w:t>
      </w:r>
      <w:r>
        <w:rPr>
          <w:rFonts w:ascii="Arial MT"/>
        </w:rPr>
        <w:t xml:space="preserve"> </w:t>
      </w:r>
      <w:r w:rsidRPr="00F827CC">
        <w:rPr>
          <w:rFonts w:ascii="Arial MT"/>
        </w:rPr>
        <w:t>Jl. Budi Utomo No 10 Ponorogo, Indonesia</w:t>
      </w:r>
    </w:p>
    <w:p w:rsidR="00C56F04" w:rsidRPr="00F827CC" w:rsidP="00C56F04" w14:paraId="1A50FE6E" w14:textId="7900BFFB">
      <w:pPr>
        <w:spacing w:before="2"/>
        <w:ind w:left="321" w:right="463"/>
        <w:jc w:val="center"/>
        <w:rPr>
          <w:rFonts w:ascii="Arial MT"/>
        </w:rPr>
      </w:pPr>
      <w:r>
        <w:rPr>
          <w:rFonts w:ascii="Arial MT"/>
          <w:vertAlign w:val="superscript"/>
        </w:rPr>
        <w:t>3</w:t>
      </w:r>
      <w:r w:rsidRPr="00F827CC">
        <w:rPr>
          <w:rFonts w:ascii="Arial MT"/>
        </w:rPr>
        <w:t>Program Studi D3 Keperawatan, Fakultas Ilmu Kesehatan, Universitas Muhammadiyah Ponorogo, Jl. Budi Utomo No 10 Ponorogo, Indonesia</w:t>
      </w:r>
    </w:p>
    <w:p w:rsidR="00C56F04" w:rsidRPr="00F827CC" w:rsidP="00C56F04" w14:paraId="5E051CD0" w14:textId="435EA2F3">
      <w:pPr>
        <w:spacing w:before="2"/>
        <w:ind w:left="321" w:right="463"/>
        <w:jc w:val="center"/>
        <w:rPr>
          <w:rFonts w:ascii="Arial MT"/>
        </w:rPr>
      </w:pPr>
      <w:r w:rsidRPr="00F827CC">
        <w:rPr>
          <w:rFonts w:ascii="Arial MT"/>
          <w:i/>
          <w:iCs/>
        </w:rPr>
        <w:t>*Corresponding author</w:t>
      </w:r>
      <w:r w:rsidRPr="00F827CC">
        <w:rPr>
          <w:rFonts w:ascii="Arial MT"/>
        </w:rPr>
        <w:t xml:space="preserve">: </w:t>
      </w:r>
      <w:hyperlink r:id="rId6" w:history="1">
        <w:r w:rsidRPr="00F827CC">
          <w:rPr>
            <w:rStyle w:val="Hyperlink"/>
            <w:rFonts w:ascii="Arial MT"/>
            <w:color w:val="auto"/>
          </w:rPr>
          <w:t>darnotec@umpo.ac.id</w:t>
        </w:r>
      </w:hyperlink>
    </w:p>
    <w:p w:rsidR="00063611" w:rsidRPr="00F827CC" w14:paraId="7D1B2753" w14:textId="77777777">
      <w:pPr>
        <w:spacing w:before="243"/>
        <w:ind w:left="321" w:right="467"/>
        <w:jc w:val="center"/>
        <w:rPr>
          <w:b/>
          <w:i/>
          <w:sz w:val="24"/>
        </w:rPr>
      </w:pPr>
      <w:r w:rsidRPr="00F827CC">
        <w:rPr>
          <w:b/>
          <w:i/>
          <w:spacing w:val="-2"/>
          <w:sz w:val="24"/>
        </w:rPr>
        <w:t>Abstract</w:t>
      </w:r>
    </w:p>
    <w:p w:rsidR="0011086F" w:rsidRPr="00DE5E99" w:rsidP="0011086F" w14:paraId="77591A4F" w14:textId="282CDC4F">
      <w:pPr>
        <w:spacing w:before="122"/>
        <w:ind w:left="165" w:right="412" w:firstLine="566"/>
        <w:jc w:val="both"/>
        <w:rPr>
          <w:i/>
          <w:sz w:val="20"/>
          <w:lang w:val="id-ID"/>
        </w:rPr>
      </w:pPr>
      <w:r w:rsidRPr="00DE5E99">
        <w:rPr>
          <w:i/>
          <w:sz w:val="20"/>
          <w:lang w:val="id-ID"/>
        </w:rPr>
        <w:t>Previous studies have shown that used oil can be used as an alternative fuel, although its efficiency is relatively low with a red to orange flame. To improve performance, design improvements need to be made, namely by preheating the fuel before entering the combustion chamber, selecting the right fuel, and improving the distribution of combustion air. This study aims to find the effect of fuel type on the resulting performance. The study was conducted using analysis and experimental methods. In this study, we continued the investigation related to the effect of fuel type on the resulting performance. The types of fuel used were used cooking oil, used oil, and new oil. The performance measured included efficiency, flame temperature distribution, and exhaust emissions. Based on this study, it was found that the stove with new oil fuel produced the best performance with the highest efficiency value of 56,16%. The highest temperature produced by new oil reached 109</w:t>
      </w:r>
      <w:r w:rsidR="00DE5E99">
        <w:rPr>
          <w:i/>
          <w:sz w:val="20"/>
          <w:lang w:val="id-ID"/>
        </w:rPr>
        <w:t>4</w:t>
      </w:r>
      <w:r w:rsidRPr="00DE5E99">
        <w:rPr>
          <w:i/>
          <w:sz w:val="20"/>
          <w:lang w:val="id-ID"/>
        </w:rPr>
        <w:t xml:space="preserve">°C, indicating better thermal stability compared to other fuels. In addition, exhaust emission tests showed that new oil produced the highest CO₂ levels (10,0%), the lowest CO (2,24%), and the lowest HC (24,4 ppm), indicating the most perfect combustion. </w:t>
      </w:r>
      <w:r w:rsidRPr="0007113B" w:rsidR="0007113B">
        <w:rPr>
          <w:i/>
          <w:sz w:val="20"/>
          <w:lang w:val="id-ID"/>
        </w:rPr>
        <w:t>This confirms that the use of new oil in used oil stoves with fuel preheating can increase thermal efficiency, and produce cleaner emissions</w:t>
      </w:r>
      <w:r w:rsidRPr="00DE5E99">
        <w:rPr>
          <w:i/>
          <w:sz w:val="20"/>
          <w:lang w:val="id-ID"/>
        </w:rPr>
        <w:t>.</w:t>
      </w:r>
    </w:p>
    <w:p w:rsidR="00063611" w14:paraId="16490416" w14:textId="30B223AB">
      <w:pPr>
        <w:spacing w:before="1"/>
        <w:ind w:left="165"/>
        <w:jc w:val="both"/>
        <w:rPr>
          <w:i/>
          <w:sz w:val="20"/>
        </w:rPr>
      </w:pPr>
      <w:r w:rsidRPr="00DE5E99">
        <w:rPr>
          <w:b/>
          <w:i/>
          <w:sz w:val="24"/>
        </w:rPr>
        <w:t>Keywords:</w:t>
      </w:r>
      <w:r w:rsidRPr="00DE5E99">
        <w:rPr>
          <w:b/>
          <w:i/>
          <w:spacing w:val="-5"/>
          <w:sz w:val="24"/>
        </w:rPr>
        <w:t xml:space="preserve"> </w:t>
      </w:r>
      <w:r w:rsidRPr="00DE5E99" w:rsidR="0011086F">
        <w:rPr>
          <w:i/>
          <w:sz w:val="20"/>
        </w:rPr>
        <w:t>Stove; fuel preheating; efficiency; flame temperature distribution; exhaust emissions</w:t>
      </w:r>
    </w:p>
    <w:p w:rsidR="00DE5E99" w:rsidRPr="00DE5E99" w14:paraId="157AD05D" w14:textId="77777777">
      <w:pPr>
        <w:spacing w:before="1"/>
        <w:ind w:left="165"/>
        <w:jc w:val="both"/>
        <w:rPr>
          <w:i/>
          <w:sz w:val="20"/>
        </w:rPr>
      </w:pPr>
    </w:p>
    <w:p w:rsidR="00063611" w:rsidRPr="00AE7637" w14:paraId="0A2E774B" w14:textId="77777777">
      <w:pPr>
        <w:pStyle w:val="BodyText"/>
        <w:spacing w:before="7"/>
        <w:jc w:val="left"/>
        <w:rPr>
          <w:i/>
          <w:color w:val="0070C0"/>
          <w:sz w:val="20"/>
        </w:rPr>
      </w:pPr>
    </w:p>
    <w:p w:rsidR="00063611" w:rsidRPr="00DE5E99" w14:paraId="33A32DAC" w14:textId="77777777">
      <w:pPr>
        <w:pStyle w:val="Heading1"/>
        <w:ind w:left="326" w:right="462"/>
        <w:jc w:val="center"/>
      </w:pPr>
      <w:r w:rsidRPr="00DE5E99">
        <w:rPr>
          <w:spacing w:val="-2"/>
        </w:rPr>
        <w:t>Abstrak</w:t>
      </w:r>
    </w:p>
    <w:p w:rsidR="00DE5E99" w:rsidRPr="00DE5E99" w:rsidP="00AE7637" w14:paraId="238B6524" w14:textId="64FF13BE">
      <w:pPr>
        <w:spacing w:before="122"/>
        <w:ind w:left="165" w:right="409" w:firstLine="566"/>
        <w:jc w:val="both"/>
        <w:rPr>
          <w:sz w:val="20"/>
          <w:lang w:val="id"/>
        </w:rPr>
      </w:pPr>
      <w:r w:rsidRPr="00DE5E99">
        <w:rPr>
          <w:iCs/>
          <w:sz w:val="20"/>
        </w:rPr>
        <w:t xml:space="preserve">Penelitian sebelumnya menunjukkan bahwa minyak bekas dapat digunakan sebagai bahan bakar alternatif, meskipun efisiensinya relatif rendah dengan nyala berwarna merah hingga jingga. Untuk meningkatkan performa, perlu dilakukan perbaikan desain, yaitu dengan memberikan </w:t>
      </w:r>
      <w:r w:rsidRPr="00DE5E99">
        <w:rPr>
          <w:i/>
          <w:sz w:val="20"/>
        </w:rPr>
        <w:t>preheating</w:t>
      </w:r>
      <w:r w:rsidRPr="00DE5E99">
        <w:rPr>
          <w:iCs/>
          <w:sz w:val="20"/>
        </w:rPr>
        <w:t xml:space="preserve"> pada bahan bakar sebelum masuk ruang bakar, pemilihan bahan bakar yang tepat, dan penyempurnaan distribusi udara pembakaran.</w:t>
      </w:r>
      <w:r w:rsidRPr="00DE5E99">
        <w:rPr>
          <w:sz w:val="20"/>
        </w:rPr>
        <w:t xml:space="preserve"> Penelitian ini bertujuan untuk menemukan pengaruh jenis bahan bakar terhadap performa yang dihasilkan. Penelitian dilakukan dengan metode analisis dan eksperimen. Padapenelitian ini, kami melanjutkan investigasi terkait pengaruh jenis bahan bakar terhadap performa yang dihasilkan, jenis bahan bakar yang digunakan adalah </w:t>
      </w:r>
      <w:r w:rsidRPr="00DE5E99" w:rsidR="00861090">
        <w:rPr>
          <w:sz w:val="20"/>
          <w:lang w:val="en-ID"/>
        </w:rPr>
        <w:t>minyak goreng bekas</w:t>
      </w:r>
      <w:r w:rsidRPr="00DE5E99">
        <w:rPr>
          <w:sz w:val="20"/>
          <w:lang w:val="en-ID"/>
        </w:rPr>
        <w:t xml:space="preserve">, oli bekas, dan oli baru. </w:t>
      </w:r>
      <w:r w:rsidRPr="00DE5E99">
        <w:rPr>
          <w:sz w:val="20"/>
        </w:rPr>
        <w:t xml:space="preserve">Performa yang diukur meliputi efisiensi, distribusi temperatur api, dan emisi gas buang. </w:t>
      </w:r>
      <w:r w:rsidRPr="00DE5E99">
        <w:rPr>
          <w:sz w:val="20"/>
          <w:lang w:val="id"/>
        </w:rPr>
        <w:t>Berdasarkan penelitian tersebut ditemukan bahwa kompor dengan bahan bakar oli baru menghasilkan performa terbaik dengan nilai efisiensi tertinggi sebesar 56,16%. Suhu tertinggi yang dihasilkan oleh oli baru mencapai 109</w:t>
      </w:r>
      <w:r w:rsidRPr="00DE5E99">
        <w:rPr>
          <w:sz w:val="20"/>
          <w:lang w:val="id"/>
        </w:rPr>
        <w:t>4</w:t>
      </w:r>
      <w:r w:rsidRPr="00DE5E99">
        <w:rPr>
          <w:sz w:val="20"/>
          <w:lang w:val="id"/>
        </w:rPr>
        <w:t xml:space="preserve">°C, menunjukkan kestabilan termal yang lebih baik dibandingkan bahan bakar lainnya. Selain itu, uji emisi gas buang menunjukkan bahwa oli baru menghasilkan kadar CO₂ tertinggi (10,0%), CO terendah (2,24%), dan HC terendah (24,4 ppm) yang menunjukkan pembakaran paling sempurna. Hal ini menegaskan bahwa penggunaan oli baru pada kompor oli bekas dengan </w:t>
      </w:r>
      <w:r w:rsidRPr="00DE5E99">
        <w:rPr>
          <w:i/>
          <w:iCs/>
          <w:sz w:val="20"/>
          <w:lang w:val="id"/>
        </w:rPr>
        <w:t>preheating</w:t>
      </w:r>
      <w:r w:rsidRPr="00DE5E99">
        <w:rPr>
          <w:sz w:val="20"/>
          <w:lang w:val="id"/>
        </w:rPr>
        <w:t xml:space="preserve"> bahan bakar dapat meningkatkan efisiensi panas, </w:t>
      </w:r>
      <w:r w:rsidR="0007113B">
        <w:rPr>
          <w:sz w:val="20"/>
          <w:lang w:val="id"/>
        </w:rPr>
        <w:t xml:space="preserve">dan </w:t>
      </w:r>
      <w:r w:rsidRPr="00DE5E99">
        <w:rPr>
          <w:sz w:val="20"/>
          <w:lang w:val="id"/>
        </w:rPr>
        <w:t xml:space="preserve">menghasilkan emisi </w:t>
      </w:r>
      <w:r w:rsidR="0007113B">
        <w:rPr>
          <w:sz w:val="20"/>
          <w:lang w:val="id"/>
        </w:rPr>
        <w:t xml:space="preserve">yang </w:t>
      </w:r>
      <w:r w:rsidRPr="00DE5E99">
        <w:rPr>
          <w:sz w:val="20"/>
          <w:lang w:val="id"/>
        </w:rPr>
        <w:t>lebih bersih.</w:t>
      </w:r>
    </w:p>
    <w:p w:rsidR="00063611" w:rsidRPr="00FC058C" w14:paraId="47673749" w14:textId="4F9C10E9">
      <w:pPr>
        <w:spacing w:before="2"/>
        <w:ind w:left="165"/>
        <w:jc w:val="both"/>
      </w:pPr>
      <w:r w:rsidRPr="00FC058C">
        <w:rPr>
          <w:b/>
          <w:sz w:val="24"/>
        </w:rPr>
        <w:t>Kata</w:t>
      </w:r>
      <w:r w:rsidRPr="00FC058C">
        <w:rPr>
          <w:b/>
          <w:spacing w:val="-5"/>
          <w:sz w:val="24"/>
        </w:rPr>
        <w:t xml:space="preserve"> </w:t>
      </w:r>
      <w:r w:rsidRPr="00FC058C">
        <w:rPr>
          <w:b/>
          <w:sz w:val="24"/>
        </w:rPr>
        <w:t>kunci:</w:t>
      </w:r>
      <w:r w:rsidRPr="00FC058C">
        <w:rPr>
          <w:b/>
          <w:spacing w:val="-5"/>
          <w:sz w:val="24"/>
        </w:rPr>
        <w:t xml:space="preserve"> </w:t>
      </w:r>
      <w:r w:rsidRPr="00FC058C" w:rsidR="00AE7637">
        <w:rPr>
          <w:i/>
        </w:rPr>
        <w:t>K</w:t>
      </w:r>
      <w:r w:rsidRPr="00FC058C" w:rsidR="00AE7637">
        <w:rPr>
          <w:i/>
          <w:lang w:val="id"/>
        </w:rPr>
        <w:t xml:space="preserve">ompor; </w:t>
      </w:r>
      <w:r w:rsidRPr="00FC058C" w:rsidR="00AE7637">
        <w:rPr>
          <w:i/>
          <w:iCs/>
          <w:lang w:val="id"/>
        </w:rPr>
        <w:t xml:space="preserve">preheating </w:t>
      </w:r>
      <w:r w:rsidRPr="00FC058C" w:rsidR="00AE7637">
        <w:rPr>
          <w:i/>
          <w:lang w:val="id"/>
        </w:rPr>
        <w:t>bahan bakar</w:t>
      </w:r>
      <w:r w:rsidRPr="00FC058C" w:rsidR="00AE7637">
        <w:rPr>
          <w:i/>
          <w:lang w:val="en-ID"/>
        </w:rPr>
        <w:t xml:space="preserve">; </w:t>
      </w:r>
      <w:r w:rsidRPr="00FC058C" w:rsidR="00AE7637">
        <w:rPr>
          <w:i/>
        </w:rPr>
        <w:t>efisiensi; distribusi temperatur api; emisi gas buang</w:t>
      </w:r>
    </w:p>
    <w:p w:rsidR="00063611" w14:paraId="5DC0C37C" w14:textId="77777777">
      <w:pPr>
        <w:pStyle w:val="BodyText"/>
        <w:spacing w:before="1"/>
        <w:jc w:val="left"/>
        <w:rPr>
          <w:sz w:val="19"/>
        </w:rPr>
      </w:pPr>
      <w:r>
        <w:rPr>
          <w:noProof/>
          <w:sz w:val="19"/>
        </w:rPr>
        <mc:AlternateContent>
          <mc:Choice Requires="wps">
            <w:drawing>
              <wp:anchor distT="0" distB="0" distL="0" distR="0" simplePos="0" relativeHeight="251670528" behindDoc="1" locked="0" layoutInCell="1" allowOverlap="1">
                <wp:simplePos x="0" y="0"/>
                <wp:positionH relativeFrom="page">
                  <wp:posOffset>915035</wp:posOffset>
                </wp:positionH>
                <wp:positionV relativeFrom="paragraph">
                  <wp:posOffset>154851</wp:posOffset>
                </wp:positionV>
                <wp:extent cx="5759450" cy="1270"/>
                <wp:effectExtent l="0" t="0" r="0" b="0"/>
                <wp:wrapTopAndBottom/>
                <wp:docPr id="6" name="Graphic 6"/>
                <wp:cNvGraphicFramePr/>
                <a:graphic xmlns:a="http://schemas.openxmlformats.org/drawingml/2006/main">
                  <a:graphicData uri="http://schemas.microsoft.com/office/word/2010/wordprocessingShape">
                    <wps:wsp xmlns:wps="http://schemas.microsoft.com/office/word/2010/wordprocessingShape">
                      <wps:cNvSpPr/>
                      <wps:spPr>
                        <a:xfrm>
                          <a:off x="0" y="0"/>
                          <a:ext cx="5759450" cy="1270"/>
                        </a:xfrm>
                        <a:custGeom>
                          <a:avLst/>
                          <a:gdLst/>
                          <a:rect l="l" t="t" r="r" b="b"/>
                          <a:pathLst>
                            <a:path fill="norm" w="5759450" stroke="1">
                              <a:moveTo>
                                <a:pt x="0" y="0"/>
                              </a:moveTo>
                              <a:lnTo>
                                <a:pt x="5759449" y="0"/>
                              </a:lnTo>
                            </a:path>
                          </a:pathLst>
                        </a:custGeom>
                        <a:ln w="3175">
                          <a:solidFill>
                            <a:srgbClr val="000000"/>
                          </a:solidFill>
                          <a:prstDash val="solid"/>
                        </a:ln>
                      </wps:spPr>
                      <wps:bodyPr wrap="square" lIns="0" tIns="0" rIns="0" bIns="0" rtlCol="0">
                        <a:prstTxWarp prst="textNoShape">
                          <a:avLst/>
                        </a:prstTxWarp>
                      </wps:bodyPr>
                    </wps:wsp>
                  </a:graphicData>
                </a:graphic>
              </wp:anchor>
            </w:drawing>
          </mc:Choice>
          <mc:Fallback>
            <w:pict>
              <v:shape id="Graphic 6" o:spid="_x0000_s1028" style="width:453.5pt;height:0.1pt;margin-top:12.2pt;margin-left:72.05pt;mso-position-horizontal-relative:page;mso-wrap-distance-bottom:0;mso-wrap-distance-left:0;mso-wrap-distance-right:0;mso-wrap-distance-top:0;mso-wrap-style:square;position:absolute;v-text-anchor:top;visibility:visible;z-index:-251644928" coordsize="5759450,1270" path="m,l5759449,e" filled="f" strokeweight="0.25pt">
                <v:path arrowok="t"/>
                <w10:wrap type="topAndBottom"/>
              </v:shape>
            </w:pict>
          </mc:Fallback>
        </mc:AlternateContent>
      </w:r>
    </w:p>
    <w:p w:rsidR="00063611" w14:paraId="47184F54" w14:textId="77777777">
      <w:pPr>
        <w:pStyle w:val="BodyText"/>
        <w:spacing w:before="2"/>
        <w:jc w:val="left"/>
        <w:rPr>
          <w:sz w:val="13"/>
        </w:rPr>
      </w:pPr>
    </w:p>
    <w:p w:rsidR="00063611" w14:paraId="0AA816D8" w14:textId="77777777">
      <w:pPr>
        <w:pStyle w:val="BodyText"/>
        <w:jc w:val="left"/>
        <w:rPr>
          <w:sz w:val="13"/>
        </w:rPr>
        <w:sectPr>
          <w:footerReference w:type="default" r:id="rId7"/>
          <w:type w:val="continuous"/>
          <w:pgSz w:w="11910" w:h="16840"/>
          <w:pgMar w:top="620" w:right="1133" w:bottom="840" w:left="1275" w:header="0" w:footer="651" w:gutter="0"/>
          <w:pgNumType w:start="1"/>
          <w:cols w:space="720"/>
        </w:sectPr>
      </w:pPr>
    </w:p>
    <w:p w:rsidR="00063611" w14:paraId="6D812153" w14:textId="77777777">
      <w:pPr>
        <w:pStyle w:val="Heading1"/>
        <w:numPr>
          <w:ilvl w:val="0"/>
          <w:numId w:val="1"/>
        </w:numPr>
        <w:tabs>
          <w:tab w:val="left" w:pos="448"/>
        </w:tabs>
        <w:spacing w:before="94"/>
        <w:ind w:left="448" w:hanging="283"/>
      </w:pPr>
      <w:r>
        <w:rPr>
          <w:spacing w:val="-2"/>
        </w:rPr>
        <w:t>Pendahuluan</w:t>
      </w:r>
    </w:p>
    <w:p w:rsidR="00063611" w:rsidRPr="0007113B" w:rsidP="007C794D" w14:paraId="47CC0A1C" w14:textId="0F33A546">
      <w:pPr>
        <w:pStyle w:val="BodyText"/>
        <w:spacing w:before="118"/>
        <w:ind w:left="165" w:right="38" w:firstLine="710"/>
      </w:pPr>
      <w:r w:rsidRPr="0007113B">
        <w:t xml:space="preserve">Meningkatnya permintaan global akan solusi energi berkelanjutan telah mendorong minat yang signifikan dalam pemanfaatan minyak bekas sebagai bahan bakar alternatif. Mionyak bekas, khususnya minyak goreng bekas dan oli mesin bekas, </w:t>
      </w:r>
      <w:r w:rsidRPr="0007113B">
        <w:t xml:space="preserve">menghadirkan peluang ganda: oli ini tidak hanya mengurangi limbah lingkungan tetapi juga menawarkan sumber energi yang berpotensi hemat biaya dan ramah lingkungan. Namun, efisiensi pembakaran minyak bekas tetap menjadi tantangan kritis, yang sering kali ditandai dengan pembakaran yang tidak sempurna, yang ditunjukkan dengan adanya </w:t>
      </w:r>
      <w:r w:rsidRPr="0007113B">
        <w:t>nyala api merah hingga jingga dan efisiensi termal yang rendah</w:t>
      </w:r>
      <w:r w:rsidRPr="0007113B" w:rsidR="00B87A0B">
        <w:t xml:space="preserve"> </w:t>
      </w:r>
      <w:r w:rsidRPr="0007113B" w:rsidR="00B87A0B">
        <w:fldChar w:fldCharType="begin" w:fldLock="1"/>
      </w:r>
      <w:r w:rsidRPr="0007113B" w:rsidR="00A1528E">
        <w:instrText>ADDIN CSL_CITATION {"citationItems":[{"id":"ITEM-1","itemData":{"DOI":"10.1002/ep.12891","ISSN":"19447450","abstract":"This study aimed to convert the Pakistani waste engine oil (WEO) and waste vegetable oils into an energy efficient and environmental friendly fuel, which may be utilized as an alternative fuel in diesel engines. In this study, the WEO was catalytically cracked using Al2O3 in a batch reactor. The composite fuel blends (CFB; CFB15, CFB25, CFB35, CFB45, and CFB55) were prepared from a 40:60 mixture of pretreated cracked WEO and canola oil methyl esters with different proportions of petroleum diesel. The fuel blends were tested in a four stroke diesel engine to investigate the emission and performance characteristics in comparison to petroleum diesel. Among the fuel blends tested, CFB15 has shown negligible difference of BSFC (2.58%) and BTE (1.51%) values in comparison to petroleum diesel. Smoke, CO, and HC emissions of all the fuel blends tested were found significantly lower than those of diesel fuel. NOx emission value of CFB15 was observed to be closer to that of diesel. Based on the engine performance and emission characteristics the fuel blend CFB15 (15% CFB derived from waste oils and 85% petroleum diesel) can be effectively used as an alternative fuel in compression ignition diesel engines. © 2018 American Institute of Chemical Engineers Environ Prog, 37: 1901–1907, 2018.","author":[{"dropping-particle":"","family":"Qasim","given":"Muhammad","non-dropping-particle":"","parse-names":false,"suffix":""},{"dropping-particle":"","family":"Ansari","given":"Tariq Mahmood","non-dropping-particle":"","parse-names":false,"suffix":""},{"dropping-particle":"","family":"Hussain","given":"Mazhar","non-dropping-particle":"","parse-names":false,"suffix":""}],"container-title":"Environmental Progress and Sustainable Energy","id":"ITEM-1","issue":"6","issued":{"date-parts":[["2018"]]},"page":"2148-2155","title":"Emissions and performance characteristics of a diesel engine operated with fuel blends obtained from a mixture of pretreated waste engine oil and waste vegetable oil methyl esters","type":"article-journal","volume":"37"},"uris":["http://www.mendeley.com/documents/?uuid=bb9344cb-c4b7-47fc-a404-29cbf8749313"]}],"mendeley":{"formattedCitation":"[1]","plainTextFormattedCitation":"[1]","previouslyFormattedCitation":"(Qasim et al., 2018)"},"properties":{"noteIndex":0},"schema":"https://github.com/citation-style-language/schema/raw/master/csl-citation.json"}</w:instrText>
      </w:r>
      <w:r w:rsidRPr="0007113B" w:rsidR="00B87A0B">
        <w:fldChar w:fldCharType="separate"/>
      </w:r>
      <w:r w:rsidRPr="0007113B" w:rsidR="00A1528E">
        <w:rPr>
          <w:noProof/>
        </w:rPr>
        <w:t>[1]</w:t>
      </w:r>
      <w:r w:rsidRPr="0007113B" w:rsidR="00B87A0B">
        <w:fldChar w:fldCharType="end"/>
      </w:r>
      <w:r w:rsidRPr="0007113B" w:rsidR="0061214D">
        <w:t xml:space="preserve">  </w:t>
      </w:r>
      <w:r w:rsidRPr="0007113B" w:rsidR="0061214D">
        <w:fldChar w:fldCharType="begin" w:fldLock="1"/>
      </w:r>
      <w:r w:rsidRPr="0007113B" w:rsidR="00A1528E">
        <w:instrText>ADDIN CSL_CITATION {"citationItems":[{"id":"ITEM-1","itemData":{"author":[{"dropping-particle":"","family":"Dragiša Ðor ¯di´c 1,*, Milan Miloti´c 2, Zoran ´Curguz 2","given":"Slavko Ðuri´c 2 and Tihomir Ðuri´c","non-dropping-particle":"","parse-names":false,"suffix":""}],"id":"ITEM-1","issued":{"date-parts":[["2021"]]},"title":"Experimental Testing of Combustion Parameters and Emissions of Waste Motor Oil and Its Diesel Mixtures","type":"article-journal"},"uris":["http://www.mendeley.com/documents/?uuid=61f2d400-9601-4342-9285-9ce2d8817d16"]}],"mendeley":{"formattedCitation":"[2]","plainTextFormattedCitation":"[2]","previouslyFormattedCitation":"(Dragiša Ðor ¯di´c 1,*, Milan Miloti´c 2, Zoran ´Curguz 2, 2021)"},"properties":{"noteIndex":0},"schema":"https://github.com/citation-style-language/schema/raw/master/csl-citation.json"}</w:instrText>
      </w:r>
      <w:r w:rsidRPr="0007113B" w:rsidR="0061214D">
        <w:fldChar w:fldCharType="separate"/>
      </w:r>
      <w:r w:rsidRPr="0007113B" w:rsidR="00A1528E">
        <w:rPr>
          <w:noProof/>
        </w:rPr>
        <w:t>[2]</w:t>
      </w:r>
      <w:r w:rsidRPr="0007113B" w:rsidR="0061214D">
        <w:fldChar w:fldCharType="end"/>
      </w:r>
      <w:r w:rsidRPr="0007113B">
        <w:t>. Faktor-faktor yang berpengaruh terhadap inefisiensi ini meliputi viskositas tinggi, kandungan pengotor, dan nilai kalor oli bekas yang bervariasi</w:t>
      </w:r>
      <w:r w:rsidRPr="0007113B" w:rsidR="0061214D">
        <w:t xml:space="preserve"> </w:t>
      </w:r>
      <w:r w:rsidRPr="0007113B" w:rsidR="0061214D">
        <w:fldChar w:fldCharType="begin" w:fldLock="1"/>
      </w:r>
      <w:r w:rsidRPr="0007113B" w:rsidR="00A1528E">
        <w:instrText>ADDIN CSL_CITATION {"citationItems":[{"id":"ITEM-1","itemData":{"DOI":"10.4028/www.scientific.net/AMM.554.520","ISBN":"9783038351092","ISSN":"16627482","abstract":"Biodiesel is the alternate fuel which is derived from renewable sources either is vegetable oils or animal fats. For that reason, the vehicle run by Bio-diesel Fuel (BDF) has been a potential option and the alternative sources of fuel are receiving a lot attention in the automotive industry. The use waste cooking oil (WCO) biodiesel as an alternative fuel in engines has advantages from both economic and the emissions of carbon monoxide (CO) and hydrocarbons (HC) in the exhaust gas. Purpose of this study is to investigate the effects of waste cooking oil blended fuel, engine speed and test load conditions on the fuel properties, combustion characteristics and engine performance. The engine speed was varied from 1500 to 3000 rpm, load test condition varied by dynapack chassis dynamometer in 0, 50 and 100% and blends of 5(WCO5), 10(WCO10) and 15vol%(WCO15) waste cooking oil with the diesel fuel. The results showed that the use of WCO as biodiesel results in a higher fuel consumption rate, especially at low engine speed and full load condition. © (2014) Trans Tech Publications, Switzerland.","author":[{"dropping-particle":"","family":"Khalid","given":"Amir","non-dropping-particle":"","parse-names":false,"suffix":""},{"dropping-particle":"","family":"Mudin","given":"Azim","non-dropping-particle":"","parse-names":false,"suffix":""},{"dropping-particle":"","family":"Jaat","given":"M.","non-dropping-particle":"","parse-names":false,"suffix":""},{"dropping-particle":"","family":"Mustaffa","given":"Norrizal","non-dropping-particle":"","parse-names":false,"suffix":""},{"dropping-particle":"","family":"Manshoor","given":"B.","non-dropping-particle":"","parse-names":false,"suffix":""},{"dropping-particle":"","family":"Fawzi","given":"Mas","non-dropping-particle":"","parse-names":false,"suffix":""},{"dropping-particle":"","family":"Razali","given":"M. Azahari","non-dropping-particle":"","parse-names":false,"suffix":""},{"dropping-particle":"","family":"Ngali","given":"Zamani","non-dropping-particle":"","parse-names":false,"suffix":""}],"container-title":"Applied Mechanics and Materials","id":"ITEM-1","issued":{"date-parts":[["2014"]]},"page":"520-525","title":"Effects of biodiesel derived by waste cooking oil on fuel consumption and performance of diesel engine","type":"article-journal","volume":"554"},"uris":["http://www.mendeley.com/documents/?uuid=3e7daccd-1fde-4aee-bfa2-e33c725a2c4b"]}],"mendeley":{"formattedCitation":"[3]","plainTextFormattedCitation":"[3]","previouslyFormattedCitation":"(Khalid et al., 2014)"},"properties":{"noteIndex":0},"schema":"https://github.com/citation-style-language/schema/raw/master/csl-citation.json"}</w:instrText>
      </w:r>
      <w:r w:rsidRPr="0007113B" w:rsidR="0061214D">
        <w:fldChar w:fldCharType="separate"/>
      </w:r>
      <w:r w:rsidRPr="0007113B" w:rsidR="00A1528E">
        <w:rPr>
          <w:noProof/>
        </w:rPr>
        <w:t>[3]</w:t>
      </w:r>
      <w:r w:rsidRPr="0007113B" w:rsidR="0061214D">
        <w:fldChar w:fldCharType="end"/>
      </w:r>
      <w:r w:rsidRPr="0007113B">
        <w:t xml:space="preserve">. </w:t>
      </w:r>
    </w:p>
    <w:p w:rsidR="00063611" w:rsidRPr="0007113B" w:rsidP="00086A8D" w14:paraId="673D9A14" w14:textId="750FAE8A">
      <w:pPr>
        <w:pStyle w:val="BodyText"/>
        <w:spacing w:before="55"/>
        <w:ind w:left="165" w:right="46" w:firstLine="710"/>
      </w:pPr>
      <w:r w:rsidRPr="0007113B">
        <w:t xml:space="preserve">Salah satu strategi yang menjanjikan untuk meningkatkan efisiensi pembakaran minyak bekas adalah penerapan sistem pemanasan awal sebelum pembakaran. Pemanasan awal berfungsi untuk menurunkan viskositas minyak, sehingga meningkatkan atomisasi dan mendorong pembakaran yang lebih sempurna </w:t>
      </w:r>
      <w:r w:rsidRPr="0007113B" w:rsidR="0061214D">
        <w:fldChar w:fldCharType="begin" w:fldLock="1"/>
      </w:r>
      <w:r w:rsidRPr="0007113B" w:rsidR="00A1528E">
        <w:instrText>ADDIN CSL_CITATION {"citationItems":[{"id":"ITEM-1","itemData":{"DOI":"10.22214/ijraset.2017.9182","abstract":"See, stats, and : https : / / www . researchgate . net / publication / 320281214 Effect - Diesel Performance , Emissions Characteristics . . . . Article CITATIONS 0 READS 89 4 , including : Some : Fluidic Introducing Ahmed . M . Abd National , Egypt 4 SEE Ahmed Helwan 19 SEE Mohammed Fayoum 21 SEE All . M . Abd . The . Abstract : Waste cooking oil as an alternative fuel in oil burners allow facing the challenges of rising diesel oil prices , reducing gradual depletionoffossilfuel,savingimportedfuelfromabroadwithforeigncurrencyandreductionofexhaustemissionsthatcauseglobalwarming.Wastecookingoilwaspreheatedto90℃.Propertiesofwastecookingoilwereneartodieselfuel.Thispaperproposestoinvestigatethecombustioncharacteristicsofwastecooking-dieseloilblendsatconstantheatload.Wastecooking-dieseloilsblendswerepreparedbyvolumepercentagesof0,20,40,60,80and100%.Exhaustgastemperature,axialinflame,radialinflamestemperatures,exhaustemissionsandcombustorwereinvestigatedforwastecooking-dieseloilsblendsinswirledoilburner.TheexperimentalresultsshowedthatWCO-LDOblendsemittedloweremissionandvaluescomparedtodieseloil.Hydrocarbonsemissionsforwastecooking-dieseloilsblendswerehigherthandieseloil.Increasesofradialinflametemperatureofwastecooking-dieseloilsblendscomparedtodieseloil.NOxemissionsofforLDOwashigherthananywastecooking-dieselblend.ThepercentageofheattransferredtothecombustorwalldecreasedforWCO-LDOblendscomparedtoLDO.Wastecookingdieseloilblendscanbeusedasanalternativefueloilsinoilburner.Keywords:WasteCookingOil,SwirlerBurner,Combustor,InflameTemperature,ExhaustEmissions,equivalenceratio.NomenclatureWCOWasteCookingOil.LDOLightDieselOil.λExcessairratio.R0Radiusofcombustorcylindricalsection,m.RRadialdistancefromthecenterlineaxisofcombustor,m.R/R0Relativedistance,dimensionless.XAxialdistanceofmeasurementfromtheburnerexit,LAxialdistancebetweenburnerexitandtheendofflamelength,mX/LRelativedistance,dimensionlessɳPercentageofheattransferredtothecombustortothetotalheatinput,dimensionless.mwMassflowrateofwater,kg/sec.CpwSpecificheatatconstantpressureofwater,kJ/kg.K.TwiInlettemperatureofcoolingwater,K.TwoOutlettemperatureofcoolingwater,K.mfMassflowrateoffuel,kg/sec.mairMassflowrateofair,kg/sec.CpexhSpecificheatatconstantpressureofexhaustgases,kJ/kg.K.CpfSpecificheatatconstantpressureoffuel,kJ/kg.K.TiInitialtemperatureoffuel,K.TpreheatPreheatingtemperatureoffuel,K.","author":[{"dropping-particle":"","family":"Mahfouz","given":"Ahmed","non-dropping-particle":"","parse-names":false,"suffix":""}],"container-title":"International Journal for Research in Applied Science and Engineering Technology","id":"ITEM-1","issue":"IX","issued":{"date-parts":[["2017"]]},"page":"1264-1274","title":"Effect of Waste Cooking - Diesel Oils Blends on Performance, Emissions and Combustion Characteristics of Industrial Oil Burner","type":"article-journal","volume":"V"},"uris":["http://www.mendeley.com/documents/?uuid=e99e0ec3-7fd5-47d0-aa1e-19bd9ec627f6"]}],"mendeley":{"formattedCitation":"[4]","plainTextFormattedCitation":"[4]","previouslyFormattedCitation":"(Mahfouz, 2017)"},"properties":{"noteIndex":0},"schema":"https://github.com/citation-style-language/schema/raw/master/csl-citation.json"}</w:instrText>
      </w:r>
      <w:r w:rsidRPr="0007113B" w:rsidR="0061214D">
        <w:fldChar w:fldCharType="separate"/>
      </w:r>
      <w:r w:rsidRPr="0007113B" w:rsidR="00A1528E">
        <w:rPr>
          <w:noProof/>
        </w:rPr>
        <w:t>[4]</w:t>
      </w:r>
      <w:r w:rsidRPr="0007113B" w:rsidR="0061214D">
        <w:fldChar w:fldCharType="end"/>
      </w:r>
      <w:r w:rsidRPr="0007113B" w:rsidR="0061214D">
        <w:t xml:space="preserve"> </w:t>
      </w:r>
      <w:r w:rsidRPr="0007113B" w:rsidR="0061214D">
        <w:fldChar w:fldCharType="begin" w:fldLock="1"/>
      </w:r>
      <w:r w:rsidRPr="0007113B" w:rsidR="00A1528E">
        <w:instrText>ADDIN CSL_CITATION {"citationItems":[{"id":"ITEM-1","itemData":{"DOI":"10.30464/jmee.2019.3.2.157","ISSN":"25440780","abstract":"The need for alternative fuel instead of conventional fossil fuels (diesel or gasoline) has recently increased for several reasons, including the expected shortage of petroleum fossil fuels and the production of pollution by transportation. Consequently, researchers are interested in finding new alternative fuels. At present, the number of studies on biodiesel as a compression ignition engine fuel has increased. Current studies are mainly concerned with studying the use of exhaust gas temperature to preheat biodiesel fuel before it enters the combustion chamber. A heat exchanger is designed to increase the temperature of the biodiesel fuel prior to the combustion process. The performance characteristics of diesel engines and the emission of pollutants resulting from this modification were investigated under different operating conditions, including different engine loads and speeds. The results showed clear improvements in engine performance, including improved output power, specific fuel consumption and pollutant emissions. The engine power and specific fuel consumption improvements as a result of preheating reached up to 1.3 % and 8.27 %, respectively. Pollutant emission also decreased obviously, with carbon monoxide and hydrocarbon emission decreases of 12.95 % and 12.85 %, respectively. However, the emission of nitrogen oxides increased by 4.39 %.","author":[{"dropping-particle":"","family":"Mourad","given":"Mohamed","non-dropping-particle":"","parse-names":false,"suffix":""},{"dropping-particle":"","family":"Noureldenn","given":"Elsadek H.","non-dropping-particle":"","parse-names":false,"suffix":""}],"container-title":"Journal of Mechanical and Energy Engineering","id":"ITEM-1","issue":"2","issued":{"date-parts":[["2019"]]},"page":"157-168","title":"Benefits of exhaust gas energy for preheating biodiesel fuel to enhance engine emissions and performance","type":"article-journal","volume":"3"},"uris":["http://www.mendeley.com/documents/?uuid=7c865183-d3c9-4c2b-9e93-7d3c829dfbe2"]}],"mendeley":{"formattedCitation":"[5]","plainTextFormattedCitation":"[5]","previouslyFormattedCitation":"(Mourad &amp; Noureldenn, 2019)"},"properties":{"noteIndex":0},"schema":"https://github.com/citation-style-language/schema/raw/master/csl-citation.json"}</w:instrText>
      </w:r>
      <w:r w:rsidRPr="0007113B" w:rsidR="0061214D">
        <w:fldChar w:fldCharType="separate"/>
      </w:r>
      <w:r w:rsidRPr="0007113B" w:rsidR="00A1528E">
        <w:rPr>
          <w:noProof/>
        </w:rPr>
        <w:t>[5]</w:t>
      </w:r>
      <w:r w:rsidRPr="0007113B" w:rsidR="0061214D">
        <w:fldChar w:fldCharType="end"/>
      </w:r>
      <w:r w:rsidRPr="0007113B">
        <w:t>. Penelitian sebelumnya telah menunjukkan bahwa pemanasan awal biodiesel dapat meningkatkan karakteristik pengapian dan secara signifikan mengurangi emisi gas buang, yang menunjukkan manfaat serupa dapat diperoleh dalam konteks minyak bekas</w:t>
      </w:r>
      <w:r w:rsidRPr="0007113B" w:rsidR="0061214D">
        <w:t xml:space="preserve"> </w:t>
      </w:r>
      <w:r w:rsidRPr="0007113B" w:rsidR="0061214D">
        <w:fldChar w:fldCharType="begin" w:fldLock="1"/>
      </w:r>
      <w:r w:rsidRPr="0007113B" w:rsidR="00A1528E">
        <w:instrText>ADDIN CSL_CITATION {"citationItems":[{"id":"ITEM-1","itemData":{"DOI":"10.14419/ijet.v7i3.11.15941","ISSN":"2227524X","abstract":"Petroleum-based fuel reserves are drastically depleting due to a high demand on sustaining a better lifestyle. This paper presents the utilization of waste cooking oil (WCO) as an alternative fuel for diesel engine. Although WCO and conventional diesel fuel have similar physiochemical properties, the properties of WCO is considered inferior than conventional diesel fuel. It is due to higher viscosity and density of WCO while its calorific value is lower than conventional diesel fuel. In this research, unmodified WCO was blended with petrol fuel grade RON97. Five blended fuels samples were prepared from five to 25 percent volume base with five percent step increment. The density and calorific value of all fuel blend samples together with unmodified WCO were measured and compared to the conventional diesel and RON97 fuels. Each of the blended fuel and conventional diesel were used to run a single cylinder diesel engine. The performance characteristic of the engine was recorded at different engine speeds ranging between 1500 and 3000 rpm. Results showed that the properties of blended fuel were inferior compared to the conventional diesel fuel; however, by adding 15 percent of RON97 into the unmodified WCO, the results were comparable to the conventional diesel fuel.","author":[{"dropping-particle":"","family":"Saad","given":"Idris","non-dropping-particle":"","parse-names":false,"suffix":""},{"dropping-particle":"","family":"Rashid","given":"Wardatul Hayah Ab","non-dropping-particle":"","parse-names":false,"suffix":""},{"dropping-particle":"","family":"Saidon","given":"Nur Hidayah","non-dropping-particle":"","parse-names":false,"suffix":""}],"container-title":"International Journal of Engineering and Technology(UAE)","id":"ITEM-1","issue":"3","issued":{"date-parts":[["2018"]]},"page":"113-116","title":"Effect of adding RON97 into waste cooking oil as an alternative fuel for diesel engine","type":"article-journal","volume":"7"},"uris":["http://www.mendeley.com/documents/?uuid=b030aa42-b868-4ffc-8d3b-15a6fa4da19a"]}],"mendeley":{"formattedCitation":"[6]","plainTextFormattedCitation":"[6]","previouslyFormattedCitation":"(Saad et al., 2018)"},"properties":{"noteIndex":0},"schema":"https://github.com/citation-style-language/schema/raw/master/csl-citation.json"}</w:instrText>
      </w:r>
      <w:r w:rsidRPr="0007113B" w:rsidR="0061214D">
        <w:fldChar w:fldCharType="separate"/>
      </w:r>
      <w:r w:rsidRPr="0007113B" w:rsidR="00A1528E">
        <w:rPr>
          <w:noProof/>
        </w:rPr>
        <w:t>[6]</w:t>
      </w:r>
      <w:r w:rsidRPr="0007113B" w:rsidR="0061214D">
        <w:fldChar w:fldCharType="end"/>
      </w:r>
      <w:r w:rsidRPr="0007113B">
        <w:t>. Lebih jauh, mengoptimalkan distribusi udara dalam ruang pembakaran sangat penting untuk mencapai pembakaran yang seragam, yang dapat menghasilkan pengurangan emisi nitrogen oksida (NO</w:t>
      </w:r>
      <w:r w:rsidRPr="0007113B">
        <w:rPr>
          <w:vertAlign w:val="subscript"/>
        </w:rPr>
        <w:t>x</w:t>
      </w:r>
      <w:r w:rsidRPr="0007113B">
        <w:t>) dan peningkatan efisiensi termal secara keseluruhan</w:t>
      </w:r>
      <w:r w:rsidRPr="0007113B" w:rsidR="0061214D">
        <w:t xml:space="preserve"> </w:t>
      </w:r>
      <w:r w:rsidRPr="0007113B" w:rsidR="0061214D">
        <w:fldChar w:fldCharType="begin" w:fldLock="1"/>
      </w:r>
      <w:r w:rsidRPr="0007113B" w:rsidR="00A1528E">
        <w:instrText>ADDIN CSL_CITATION {"citationItems":[{"id":"ITEM-1","itemData":{"DOI":"10.3390/en13112823","ISSN":"19961073","abstract":"This study examined the use of waste plastic oil (WPO) combined with biodiesel as an alternative fuel for diesel engines, also commonly known as compression ignition engines, and focused on comparison of the basic physical and chemical properties of fuels, engine performance, combustion characteristics, and exhaust emissions. A preliminary study was conducted to determine the suitable ratio for the fuel blends in consideration of fuel lubricity and viscosity, and these results indicated that 10% biodiesel-derived from either palm oil or castor oil-in waste plastic oil was optimal. In addition, characterization of the basic properties of these fuel blends revealed that they had higher density and specific gravity and a lower flash point than diesel fuel, while the fuel heating value, viscosity, and cetane index were similar. The fuel blends, comprised of waste plastic oil with either 10% palm oil biodiesel (WPOP10) or 10% castor oil biodiesel (WPOC10), were selected for further investigation in engine tests in which diesel fuel and waste plastic oil were also included as baseline fuels. The experimental results of the performance of the engine showed that the combustion of WPO was similar to diesel fuel for all the tested engine loads and the addition of castor oil as compared to palm oil biodiesel caused a delay in the start of the combustion. Both biodiesel blends slightly improved brake thermal efficiency and smoke emissions with respect to diesel fuel. The addition of biodiesel to WPO tended to reduce the levels of hydrocarbon- and oxide-containing nitrogen emissions. One drawback of adding biodiesel to WPO was increased carbon monoxide and smoke. Comparing the two biodiesels used in the study, the presence of castor oil in waste plastic oil showed lower carbon monoxide and smoke emissions without penalty in terms of increased levels of hydrocarbon- and oxide-containing nitrogen emissions when the engine was operated at high load.","author":[{"dropping-particle":"","family":"Kaewbuddee","given":"Chalita","non-dropping-particle":"","parse-names":false,"suffix":""},{"dropping-particle":"","family":"Sukjit","given":"Ekarong","non-dropping-particle":"","parse-names":false,"suffix":""},{"dropping-particle":"","family":"Srisertpol","given":"Jiraphon","non-dropping-particle":"","parse-names":false,"suffix":""},{"dropping-particle":"","family":"Maithomklang","given":"Somkiat","non-dropping-particle":"","parse-names":false,"suffix":""},{"dropping-particle":"","family":"Wathakit","given":"Khatha","non-dropping-particle":"","parse-names":false,"suffix":""},{"dropping-particle":"","family":"Klinkaew","given":"Niti","non-dropping-particle":"","parse-names":false,"suffix":""},{"dropping-particle":"","family":"Liplap","given":"Pansa","non-dropping-particle":"","parse-names":false,"suffix":""},{"dropping-particle":"","family":"Arjharn","given":"Weerachai","non-dropping-particle":"","parse-names":false,"suffix":""}],"container-title":"Energies","id":"ITEM-1","issue":"11","issued":{"date-parts":[["2020"]]},"page":"1-16","title":"Evaluation of waste plastic oil-biodiesel blends as alternative fuels for diesel engines","type":"article-journal","volume":"13"},"uris":["http://www.mendeley.com/documents/?uuid=79cf0567-43cc-42bb-be28-5e07f53e0f5c"]}],"mendeley":{"formattedCitation":"[7]","plainTextFormattedCitation":"[7]","previouslyFormattedCitation":"(Kaewbuddee et al., 2020)"},"properties":{"noteIndex":0},"schema":"https://github.com/citation-style-language/schema/raw/master/csl-citation.json"}</w:instrText>
      </w:r>
      <w:r w:rsidRPr="0007113B" w:rsidR="0061214D">
        <w:fldChar w:fldCharType="separate"/>
      </w:r>
      <w:r w:rsidRPr="0007113B" w:rsidR="00A1528E">
        <w:rPr>
          <w:noProof/>
        </w:rPr>
        <w:t>[7]</w:t>
      </w:r>
      <w:r w:rsidRPr="0007113B" w:rsidR="0061214D">
        <w:fldChar w:fldCharType="end"/>
      </w:r>
      <w:r w:rsidRPr="0007113B" w:rsidR="00807104">
        <w:t>-</w:t>
      </w:r>
      <w:r w:rsidRPr="0007113B" w:rsidR="0061214D">
        <w:fldChar w:fldCharType="begin" w:fldLock="1"/>
      </w:r>
      <w:r w:rsidRPr="0007113B" w:rsidR="00A1528E">
        <w:instrText>ADDIN CSL_CITATION {"citationItems":[{"id":"ITEM-1","itemData":{"DOI":"10.21608/asat.2015.22928","abstract":"Biodiesel hasavital role in recent years as an alternative fuel for diesel engines. Biodiesel is produced from waste cooking oil by transesterification process. Biodiesel produced from waste cooking oil gives comparable performance and emission characteristics. In this study, a comparative study has been done between blends of biodiesel derived from waste cooking oil and diesel fuels. Diesel- waste cooking oil biodiesel blends of 10 and 20% was prepared. Experimental investigations were tested in a four stroke, single cylinder, diesel engine at a constant speed of 1500 rpm and variable loads. Diesel- biodiesel blends provided significant increase in fuel consumption, specific fuel consumption, exhaust gas temperature, NOx, CO2 and oxygen concentrations about diesel fuel. Waste cooking oil biodiesel blends resulted in significant decrease in thermal efficiency, volumetric efficiency, air- fuel ratio, CO and HC emissions about diesel fuel. It is recommended to use wastecooking oil biodiesel up to 20% with diesel fuel without any engine modifications.","author":[{"dropping-particle":"","family":"Gad","given":"M.","non-dropping-particle":"","parse-names":false,"suffix":""}],"container-title":"International Conference on Aerospace Sciences and Aviation Technology","id":"ITEM-1","issue":"AEROSPACE SCIENCES","issued":{"date-parts":[["2015"]]},"page":"1-13","title":"Performance and Emission Analysis of a Diesel Engine Burning Biodiesel from Waste Cooking Oil","type":"article-journal","volume":"16"},"uris":["http://www.mendeley.com/documents/?uuid=8bad4186-0529-482d-8688-de395a905c34"]}],"mendeley":{"formattedCitation":"[8]","plainTextFormattedCitation":"[8]","previouslyFormattedCitation":"(Gad, 2015)"},"properties":{"noteIndex":0},"schema":"https://github.com/citation-style-language/schema/raw/master/csl-citation.json"}</w:instrText>
      </w:r>
      <w:r w:rsidRPr="0007113B" w:rsidR="0061214D">
        <w:fldChar w:fldCharType="separate"/>
      </w:r>
      <w:r w:rsidRPr="0007113B" w:rsidR="00A1528E">
        <w:rPr>
          <w:noProof/>
        </w:rPr>
        <w:t>[8]</w:t>
      </w:r>
      <w:r w:rsidRPr="0007113B" w:rsidR="0061214D">
        <w:fldChar w:fldCharType="end"/>
      </w:r>
      <w:r w:rsidRPr="0007113B" w:rsidR="0061214D">
        <w:t>.</w:t>
      </w:r>
    </w:p>
    <w:p w:rsidR="00063611" w:rsidRPr="0007113B" w:rsidP="00CD266F" w14:paraId="414CD359" w14:textId="0F244BDF">
      <w:pPr>
        <w:pStyle w:val="BodyText"/>
        <w:spacing w:before="1"/>
        <w:ind w:left="165" w:right="39" w:firstLine="686"/>
      </w:pPr>
      <w:r w:rsidRPr="0007113B">
        <w:t>Kinerja kompor minyak bekas dipengaruhi oleh jenis bahan bakar yang digunakan dan sistem pemanasan awal yang digunakan. Penelitian ini bertujuan untuk menganalisis secara sistematis bagaimana variasi jenis bahan bakar</w:t>
      </w:r>
      <w:r w:rsidRPr="0007113B" w:rsidR="0061214D">
        <w:t xml:space="preserve"> </w:t>
      </w:r>
      <w:r w:rsidRPr="0007113B">
        <w:t xml:space="preserve">khususnya minyak goreng bekas, oli mesin bekas, dan oli baru mempengaruhi kinerja kompor minyak bekas yang dilengkapi dengan sistem </w:t>
      </w:r>
      <w:r w:rsidRPr="0007113B">
        <w:rPr>
          <w:i/>
          <w:iCs/>
        </w:rPr>
        <w:t>preheating</w:t>
      </w:r>
      <w:r w:rsidRPr="0007113B">
        <w:t xml:space="preserve"> bahan bakar. Performa yang diukur mencakup efisiensi termal, distribusi temperatur api, dan emisi gas buang</w:t>
      </w:r>
      <w:r w:rsidRPr="0007113B" w:rsidR="001A7266">
        <w:t xml:space="preserve"> </w:t>
      </w:r>
      <w:r w:rsidRPr="0007113B" w:rsidR="001A7266">
        <w:fldChar w:fldCharType="begin" w:fldLock="1"/>
      </w:r>
      <w:r w:rsidRPr="0007113B" w:rsidR="00A1528E">
        <w:instrText>ADDIN CSL_CITATION {"citationItems":[{"id":"ITEM-1","itemData":{"DOI":"10.21608/jesaun.2023.166107.1169","ISSN":"23568550","author":[{"dropping-particle":"","family":"Said Farag","given":"Mohammed","non-dropping-particle":"","parse-names":false,"suffix":""}],"container-title":"JES. Journal of Engineering Sciences","id":"ITEM-1","issue":"2","issued":{"date-parts":[["2023"]]},"page":"37-52","title":"Experimental Investigation of Diesel Engine Emissions Using Blends of Waste Vegetable Oils","type":"article-journal","volume":"51"},"uris":["http://www.mendeley.com/documents/?uuid=f95d3ae3-7d0b-4694-bf62-68b01740b200"]}],"mendeley":{"formattedCitation":"[9]","plainTextFormattedCitation":"[9]","previouslyFormattedCitation":"(Said Farag, 2023)"},"properties":{"noteIndex":0},"schema":"https://github.com/citation-style-language/schema/raw/master/csl-citation.json"}</w:instrText>
      </w:r>
      <w:r w:rsidRPr="0007113B" w:rsidR="001A7266">
        <w:fldChar w:fldCharType="separate"/>
      </w:r>
      <w:r w:rsidRPr="0007113B" w:rsidR="00A1528E">
        <w:rPr>
          <w:noProof/>
        </w:rPr>
        <w:t>[9]</w:t>
      </w:r>
      <w:r w:rsidRPr="0007113B" w:rsidR="001A7266">
        <w:fldChar w:fldCharType="end"/>
      </w:r>
      <w:r w:rsidRPr="0007113B" w:rsidR="00807104">
        <w:t>-</w:t>
      </w:r>
      <w:r w:rsidRPr="0007113B" w:rsidR="001A7266">
        <w:fldChar w:fldCharType="begin" w:fldLock="1"/>
      </w:r>
      <w:r w:rsidRPr="0007113B" w:rsidR="00A1528E">
        <w:instrText>ADDIN CSL_CITATION {"citationItems":[{"id":"ITEM-1","itemData":{"DOI":"10.3390/en12071194","ISSN":"19961073","abstract":"The use of alternative fuels contributes to the lowering of the carbon footprint of the internal combustion engine. Biofuels are the most important kinds of alternative fuels. Currently, thanks to the new manufacturing processes of biofuels, there is potential to decrease greenhouse gas (GHG) emissions, compared to fossil fuels, on a well-to-wheel basis. Amongst the most prominent alternative fuels to be used in mixtures/blends with fossil fuels in internal combustion (IC) engines are biodiesel, bioethanol, and biomethanol. With this perspective, considerable attention has been given to biodiesel and petroleum diesel fuel blends in compression ignition (CI) engines. Many studies have been conducted to assess the impacts of biodiesel use on engine operation. The addition of alcohols such as methanol and ethanol is also practised in biodiesel-diesel blends, due to their miscibility with the pure biodiesel. Alcohols improve the physico-chemical properties of biodiesel-diesel blends, which lead to improved CI engine operation. This review paper discusses some results of recent studies on biodiesel, bioethanol, and biomethanol production, their physicochemical properties, and also, on the influence of the use of diesel-biodiesel-alcohols blends in CI engines: combustion characteristics, performance, and emissions.","author":[{"dropping-particle":"","family":"Niculescu","given":"Rodica","non-dropping-particle":"","parse-names":false,"suffix":""},{"dropping-particle":"","family":"Clenci","given":"Adrian","non-dropping-particle":"","parse-names":false,"suffix":""},{"dropping-particle":"","family":"Iorga-Siman","given":"Victor","non-dropping-particle":"","parse-names":false,"suffix":""}],"container-title":"Energies","id":"ITEM-1","issue":"7","issued":{"date-parts":[["2019"]]},"page":"1-41","title":"Review on the use of diesel-biodiesel-alcohol blends in compression ignition engines","type":"article-journal","volume":"12"},"uris":["http://www.mendeley.com/documents/?uuid=c1d3ecb3-1180-4121-aae6-b9a809c03014"]}],"mendeley":{"formattedCitation":"[10]","plainTextFormattedCitation":"[10]","previouslyFormattedCitation":"(Niculescu et al., 2019)"},"properties":{"noteIndex":0},"schema":"https://github.com/citation-style-language/schema/raw/master/csl-citation.json"}</w:instrText>
      </w:r>
      <w:r w:rsidRPr="0007113B" w:rsidR="001A7266">
        <w:fldChar w:fldCharType="separate"/>
      </w:r>
      <w:r w:rsidRPr="0007113B" w:rsidR="00A1528E">
        <w:rPr>
          <w:noProof/>
        </w:rPr>
        <w:t>[10]</w:t>
      </w:r>
      <w:r w:rsidRPr="0007113B" w:rsidR="001A7266">
        <w:fldChar w:fldCharType="end"/>
      </w:r>
      <w:r w:rsidRPr="0007113B">
        <w:t xml:space="preserve">. Penelitian sebelumnya menunjukkan bahwa </w:t>
      </w:r>
      <w:r w:rsidRPr="0007113B">
        <w:rPr>
          <w:i/>
          <w:iCs/>
        </w:rPr>
        <w:t>preheating</w:t>
      </w:r>
      <w:r w:rsidRPr="0007113B">
        <w:t xml:space="preserve"> bahan bakar dapat meningkatkan karakteristik pembakaran dan efisiensi termal secra signifikan</w:t>
      </w:r>
      <w:r w:rsidRPr="0007113B" w:rsidR="00FC058C">
        <w:t xml:space="preserve"> </w:t>
      </w:r>
      <w:r w:rsidRPr="0007113B" w:rsidR="00FC058C">
        <w:fldChar w:fldCharType="begin" w:fldLock="1"/>
      </w:r>
      <w:r w:rsidRPr="0007113B" w:rsidR="00A1528E">
        <w:instrText>ADDIN CSL_CITATION {"citationItems":[{"id":"ITEM-1","itemData":{"DOI":"10.4028/www.scientific.net/amm.773-774.565","abstract":"The use of energy and natural resources being increase due to the growth of economy and world population. One of the natural resources is being consumed heavily is diesel for transportation and burner combustion. However, the major product results from the combustions of diesel are NOx and PM emissions. This review paper focuses on the influences of the emulsified renewable biodiesel fuel such as crude palm oil and waste cooking oil with the concept fuel-air-water internally rapid mixing injector for the open burner system. Water is introduced directly into the combustion field. The concept of rapid mixing from biodiesel and water are controlling of the combustion process in order to minimize the emissions. The water content in the emulsified biodiesel fuels effectively in the reduction of NOx emissions especially the high blending biodiesel. Moreover, emulsion technology significantly reduced particulate matter (PM) emissions as compared to the standard biodiesel fuel combustion. The parameters include equivalent ratio, water content in biodiesel-water, and spray characteristics such as spray penetration, spray angle and spray area.","author":[{"dropping-particle":"","family":"Suardi","given":"Mirnah","non-dropping-particle":"","parse-names":false,"suffix":""},{"dropping-particle":"","family":"Azman","given":"Norazwan","non-dropping-particle":"","parse-names":false,"suffix":""},{"dropping-particle":"","family":"Samsudin","given":"Dahrum","non-dropping-particle":"","parse-names":false,"suffix":""},{"dropping-particle":"","family":"Mansor","given":"Norani","non-dropping-particle":"","parse-names":false,"suffix":""},{"dropping-particle":"","family":"Khalid","given":"Amir","non-dropping-particle":"","parse-names":false,"suffix":""}],"container-title":"Applied Mechanics and Materials","id":"ITEM-1","issued":{"date-parts":[["2015"]]},"page":"565-569","title":"Analysis of Emulsified Renewable Fuel Injector in Burner Combustion: An Overview","type":"article-journal","volume":"773-774"},"uris":["http://www.mendeley.com/documents/?uuid=7ef6cf43-84c2-476c-8835-b9539112b691"]}],"mendeley":{"formattedCitation":"[11]","plainTextFormattedCitation":"[11]","previouslyFormattedCitation":"(Suardi et al., 2015)"},"properties":{"noteIndex":0},"schema":"https://github.com/citation-style-language/schema/raw/master/csl-citation.json"}</w:instrText>
      </w:r>
      <w:r w:rsidRPr="0007113B" w:rsidR="00FC058C">
        <w:fldChar w:fldCharType="separate"/>
      </w:r>
      <w:r w:rsidRPr="0007113B" w:rsidR="00A1528E">
        <w:rPr>
          <w:noProof/>
        </w:rPr>
        <w:t>[11]</w:t>
      </w:r>
      <w:r w:rsidRPr="0007113B" w:rsidR="00FC058C">
        <w:fldChar w:fldCharType="end"/>
      </w:r>
      <w:r w:rsidRPr="0007113B" w:rsidR="00807104">
        <w:t>-</w:t>
      </w:r>
      <w:r w:rsidRPr="0007113B" w:rsidR="00FC058C">
        <w:fldChar w:fldCharType="begin" w:fldLock="1"/>
      </w:r>
      <w:r w:rsidRPr="0007113B" w:rsidR="00A1528E">
        <w:instrText>ADDIN CSL_CITATION {"citationItems":[{"id":"ITEM-1","itemData":{"DOI":"10.1021/acs.energyfuels.6b03417","ISSN":"15205029","abstract":"Bio-oil, also called pyrolysis liquid biofuel, is made from the pyrolysis of waste biomass and provides a carbon-neutral alternative fuel. This study focuses on optimizing swirl burners for use with bio-oil. Spray combustion of bio-oil/ethanol blends was previously studied using a 10 kW swirl burner. The previous burner had a small combustion chamber with no refractory lining. It was not feasible to stabilize flames of bio-oil without blending with ethanol, and the pollutant emissions were relatively high. In this study, the burner is upgraded by implementing a refractory-lined combustion chamber and increasing the size of the chamber to investigate the relationship between the burner design and combustion performance of bio-oil. The main reasons for upgrading the burner are to eliminate ethanol addition to bio-oil, stabilize the pure bio-oil flame, achieve lower pollutant emissions, and make the burner more comparable to industrial bio-oil burners. In addition to flame stability, fuel boiling inside the nozzle and nozzle coking are two other challenges that require some optimization and adjustments in the setup. After modification of the new burner configuration and adjustment of the operating parameters, the pure bio-oil flame is stabilized with minimal nozzle coking and gaseous exhaust emissions. The new burner has a significantly lower amount of heat loss and, hence, a higher gas temperature within the combustion chamber compared to the previous burner. The effects of operating conditions on the gaseous pollutants are also investigated. CO and unburned hydrocarbon emissions are extremely sensitive to the operating parameters, such as the equivalence ratio, swirl number, and atomizing air flow rate. Moreover, the pilot flame energy and primary air preheat temperature play important roles in ignition quality of bio-oil, flame stability, and nozzle coking. The dominant mechanism for NOx emissions is the conversion of fuel-bound nitrogen. The new burner also has decreased particulate matter emissions compared to the previous burner by achieving higher temperatures, which favors burnout of char particles within the flame.","author":[{"dropping-particle":"","family":"Zadmajid","given":"Sina","non-dropping-particle":"","parse-names":false,"suffix":""},{"dropping-particle":"","family":"Albert-Green","given":"Steven","non-dropping-particle":"","parse-names":false,"suffix":""},{"dropping-particle":"","family":"Afarin","given":"Yashar","non-dropping-particle":"","parse-names":false,"suffix":""},{"dropping-particle":"","family":"Thomson","given":"Murray J.","non-dropping-particle":"","parse-names":false,"suffix":""}],"container-title":"Energy and Fuels","id":"ITEM-1","issue":"6","issued":{"date-parts":[["2017"]]},"page":"6065-6079","title":"Optimizing a Swirl Burner for Pyrolysis Liquid Biofuel (Bio-oil) Combustion without Blending","type":"article-journal","volume":"31"},"uris":["http://www.mendeley.com/documents/?uuid=93a2ec56-40f4-4ef8-b0e9-3bfb647ae09c"]}],"mendeley":{"formattedCitation":"[12]","plainTextFormattedCitation":"[12]","previouslyFormattedCitation":"(Zadmajid et al., 2017)"},"properties":{"noteIndex":0},"schema":"https://github.com/citation-style-language/schema/raw/master/csl-citation.json"}</w:instrText>
      </w:r>
      <w:r w:rsidRPr="0007113B" w:rsidR="00FC058C">
        <w:fldChar w:fldCharType="separate"/>
      </w:r>
      <w:r w:rsidRPr="0007113B" w:rsidR="00A1528E">
        <w:rPr>
          <w:noProof/>
        </w:rPr>
        <w:t>[12]</w:t>
      </w:r>
      <w:r w:rsidRPr="0007113B" w:rsidR="00FC058C">
        <w:fldChar w:fldCharType="end"/>
      </w:r>
      <w:r w:rsidRPr="0007113B">
        <w:t>.</w:t>
      </w:r>
    </w:p>
    <w:p w:rsidR="00063611" w:rsidRPr="0007113B" w14:paraId="3B54CE41" w14:textId="0389C9E8">
      <w:pPr>
        <w:pStyle w:val="BodyText"/>
        <w:spacing w:before="2"/>
        <w:ind w:left="165" w:right="38" w:firstLine="710"/>
      </w:pPr>
      <w:r w:rsidRPr="00FC058C">
        <w:t xml:space="preserve">Meskipun semakin banyak literatur tentang bahan bakar alternatif, namun masih terdapat kesenjangan yang mencolok dalam memahami dampak spesifik dari berbagai jenis bahan bakar terhadap kinerja kompor. Studi ini mengatasi kesenjangan ini dengan berfokus pada performa pembakaran minyak bekas pada kompor </w:t>
      </w:r>
      <w:r w:rsidRPr="0007113B">
        <w:t xml:space="preserve">dengan </w:t>
      </w:r>
      <w:r w:rsidRPr="0007113B">
        <w:rPr>
          <w:i/>
          <w:iCs/>
        </w:rPr>
        <w:t>preheating</w:t>
      </w:r>
      <w:r w:rsidRPr="0007113B">
        <w:t xml:space="preserve"> bahan bakar. Hal ini berbeda </w:t>
      </w:r>
      <w:r w:rsidRPr="0007113B">
        <w:t>dengan penelitian sebelumnya yang berfokus pada biodiesel dan bahan bakar alternatif lainnya</w:t>
      </w:r>
      <w:r w:rsidRPr="0007113B" w:rsidR="00FC058C">
        <w:t xml:space="preserve"> </w:t>
      </w:r>
      <w:r w:rsidRPr="0007113B" w:rsidR="00FC058C">
        <w:fldChar w:fldCharType="begin" w:fldLock="1"/>
      </w:r>
      <w:r w:rsidRPr="0007113B" w:rsidR="00A1528E">
        <w:instrText>ADDIN CSL_CITATION {"citationItems":[{"id":"ITEM-1","itemData":{"DOI":"10.3390/en11061512","ISSN":"19961073","abstract":"The heat values of waste mineral oils are equal to the heat value of the fuel oil. However, heat value alone is not sufficient for the use of waste minerals oils as fuel. However, the critical physical properties of fuels such as density and viscosity need to be adapted to the system in order to be used. In this study, the engine oils used in the first 10,000 km of the vehicles were used as waste mineral oil. An organic-based Mn additive was synthesized to improve the properties of the waste mineral oil. It was observed that mixing the Mn additive with the waste mineral oil at different doses (4, 8, 12, and 16 ppm) improves the viscosity of the waste oil and the flash point. The resulting fuel was evaluated for emission using different loads in a 5 kW capacity generator to compare the fuel with standard diesel fuel and to determine the effect of Mn addition. In the experimental study, it was observed that the emission characteristics of the fuel obtained from waste mineral oil were worse than diesel fuel, but some improvement was observed with Mn addition. As a result, we found that the use of waste mineral oils in engines in fuel standards was not appropriate, but may be improved with additives.","author":[{"dropping-particle":"","family":"Özdalyan","given":"Bülent","non-dropping-particle":"","parse-names":false,"suffix":""},{"dropping-particle":"","family":"Orman","given":"Recep","non-dropping-particle":"","parse-names":false,"suffix":""}],"container-title":"Energies","id":"ITEM-1","issue":"6","issued":{"date-parts":[["2018"]]},"title":"Experimental investigation of the use of waste mineral oils as a fuel with organic-based mn additive","type":"article-journal","volume":"11"},"uris":["http://www.mendeley.com/documents/?uuid=d035864d-5478-494b-af78-6651df58802b"]}],"mendeley":{"formattedCitation":"[13]","plainTextFormattedCitation":"[13]","previouslyFormattedCitation":"(Özdalyan &amp; Orman, 2018)"},"properties":{"noteIndex":0},"schema":"https://github.com/citation-style-language/schema/raw/master/csl-citation.json"}</w:instrText>
      </w:r>
      <w:r w:rsidRPr="0007113B" w:rsidR="00FC058C">
        <w:fldChar w:fldCharType="separate"/>
      </w:r>
      <w:r w:rsidRPr="0007113B" w:rsidR="00A1528E">
        <w:rPr>
          <w:noProof/>
        </w:rPr>
        <w:t>[13]</w:t>
      </w:r>
      <w:r w:rsidRPr="0007113B" w:rsidR="00FC058C">
        <w:fldChar w:fldCharType="end"/>
      </w:r>
      <w:r w:rsidRPr="0007113B" w:rsidR="00FC058C">
        <w:t xml:space="preserve"> </w:t>
      </w:r>
      <w:r w:rsidRPr="0007113B" w:rsidR="00FC058C">
        <w:fldChar w:fldCharType="begin" w:fldLock="1"/>
      </w:r>
      <w:r w:rsidRPr="0007113B" w:rsidR="00A1528E">
        <w:instrText>ADDIN CSL_CITATION {"citationItems":[{"id":"ITEM-1","itemData":{"DOI":"10.1016/j.proeng.2013.03.139","ISSN":"18777058","abstract":"The current study investigates the suitability for using waste transformer oil (WTO) as an alternative fuel for compression ignition (CI) engine. For this purpose different properties of the WTO were determined. The different properties include density, kinematic viscosity, cetane number, calorific value, flash and fire points, fourier transform infra-red (FTIR). The investigation includes two parts. In the first part of the investigation, different properties and engine performance were conducted. In the latter part of the investigation WTO was refined by well know transesterification process and again different fuel properties and engine performance were conducted. In the text, the refined waste transformer oil is designated as RWTO. All fuel properties with WTO and RWTO were compared with those of conventional diesel fuel (DF). All properties were close to those of DF. FTIR results revealed that the WTO is a diesel like hydrocarbon. The engine performance with WTO and RWTO was much better than that of DF. Based on the findings, WTO and RWTO are suggested to be alternative fuels for CI engine. © 2013 The Authors. Published by Elsevier Ltd.","author":[{"dropping-particle":"","family":"Nabi","given":"Md Nurun","non-dropping-particle":"","parse-names":false,"suffix":""},{"dropping-particle":"","family":"Akhter","given":"Md Shamim","non-dropping-particle":"","parse-names":false,"suffix":""},{"dropping-particle":"","family":"Rahman","given":"Md Atiqur","non-dropping-particle":"","parse-names":false,"suffix":""}],"container-title":"Procedia Engineering","id":"ITEM-1","issued":{"date-parts":[["2013"]]},"page":"401-406","publisher":"Elsevier B.V.","title":"Waste transformer oil as an alternative fuel for diesel engine","type":"article-journal","volume":"56"},"uris":["http://www.mendeley.com/documents/?uuid=6a8fcffd-2bd4-4828-a44c-04edb92c82c9"]}],"mendeley":{"formattedCitation":"[14]","plainTextFormattedCitation":"[14]","previouslyFormattedCitation":"(Nabi et al., 2013)"},"properties":{"noteIndex":0},"schema":"https://github.com/citation-style-language/schema/raw/master/csl-citation.json"}</w:instrText>
      </w:r>
      <w:r w:rsidRPr="0007113B" w:rsidR="00FC058C">
        <w:fldChar w:fldCharType="separate"/>
      </w:r>
      <w:r w:rsidRPr="0007113B" w:rsidR="00A1528E">
        <w:rPr>
          <w:noProof/>
        </w:rPr>
        <w:t>[14]</w:t>
      </w:r>
      <w:r w:rsidRPr="0007113B" w:rsidR="00FC058C">
        <w:fldChar w:fldCharType="end"/>
      </w:r>
      <w:r w:rsidRPr="0007113B">
        <w:t xml:space="preserve">. Dengan mengintegrasikan teknologi </w:t>
      </w:r>
      <w:r w:rsidRPr="0007113B">
        <w:rPr>
          <w:i/>
          <w:iCs/>
        </w:rPr>
        <w:t>preheating</w:t>
      </w:r>
      <w:r w:rsidRPr="0007113B">
        <w:t xml:space="preserve"> bahan bakar, pemilihan bahan bakar yang tepat, dan distribusi udara yang optimal, diharapkan penelitian ini menjadi solusi inovatif yang tidak hanya meningkatkan efisiensi tetapi juga mengurangi emisi polutan. Temuan ini diharapkan juda dapat memberikan kontribusi yang signifikan terhadap kemajuan teknologi kompor yang ramah lingkungan dan mendukung praktik berkelanjutan dalam pemanfaatan minyak  bekas sebagai sumber energi alternatif. </w:t>
      </w:r>
    </w:p>
    <w:p w:rsidR="00063611" w:rsidRPr="00861090" w14:paraId="2403062B" w14:textId="77777777">
      <w:pPr>
        <w:pStyle w:val="BodyText"/>
        <w:spacing w:before="87"/>
        <w:jc w:val="left"/>
        <w:rPr>
          <w:color w:val="0070C0"/>
        </w:rPr>
      </w:pPr>
    </w:p>
    <w:p w:rsidR="00063611" w:rsidRPr="00A36689" w14:paraId="23106528" w14:textId="77777777">
      <w:pPr>
        <w:pStyle w:val="Heading1"/>
        <w:numPr>
          <w:ilvl w:val="0"/>
          <w:numId w:val="1"/>
        </w:numPr>
        <w:tabs>
          <w:tab w:val="left" w:pos="448"/>
        </w:tabs>
        <w:ind w:left="448" w:hanging="283"/>
      </w:pPr>
      <w:r w:rsidRPr="00A36689">
        <w:t xml:space="preserve">Metode </w:t>
      </w:r>
      <w:r w:rsidRPr="00A36689">
        <w:rPr>
          <w:spacing w:val="-2"/>
        </w:rPr>
        <w:t>Penelitian</w:t>
      </w:r>
    </w:p>
    <w:p w:rsidR="00E27E38" w:rsidRPr="00A36689" w:rsidP="00CD266F" w14:paraId="2DCE6B10" w14:textId="65961C09">
      <w:pPr>
        <w:pStyle w:val="BodyText"/>
        <w:spacing w:before="118" w:line="275" w:lineRule="exact"/>
        <w:ind w:left="142" w:firstLine="709"/>
        <w:rPr>
          <w:lang w:val="id-ID"/>
        </w:rPr>
      </w:pPr>
      <w:r w:rsidRPr="0007113B">
        <w:rPr>
          <w:lang w:val="id-ID"/>
        </w:rPr>
        <w:t xml:space="preserve">Penelitian ini menggunakan metode eksperimental untuk menganalisis pengaruh jenis bahan bakar terhadap performa kompor dengan </w:t>
      </w:r>
      <w:r w:rsidRPr="0007113B">
        <w:rPr>
          <w:i/>
          <w:iCs/>
          <w:lang w:val="id-ID"/>
        </w:rPr>
        <w:t>preheating</w:t>
      </w:r>
      <w:r w:rsidRPr="0007113B" w:rsidR="00861090">
        <w:rPr>
          <w:i/>
          <w:iCs/>
          <w:lang w:val="id-ID"/>
        </w:rPr>
        <w:t xml:space="preserve"> </w:t>
      </w:r>
      <w:r w:rsidRPr="0007113B" w:rsidR="00861090">
        <w:rPr>
          <w:lang w:val="id-ID"/>
        </w:rPr>
        <w:t>bahan bakar</w:t>
      </w:r>
      <w:r w:rsidRPr="0007113B">
        <w:rPr>
          <w:lang w:val="id-ID"/>
        </w:rPr>
        <w:t xml:space="preserve">. Bahan bakar yang diuji meliputi </w:t>
      </w:r>
      <w:r w:rsidRPr="0007113B" w:rsidR="00861090">
        <w:rPr>
          <w:lang w:val="id-ID"/>
        </w:rPr>
        <w:t>minyak goreng bekas</w:t>
      </w:r>
      <w:r w:rsidRPr="0007113B">
        <w:rPr>
          <w:lang w:val="id-ID"/>
        </w:rPr>
        <w:t>, oli bekas, dan oli baru. Pengukuran dilakukan pada efisiensi pembakaran, distribusi temperatur</w:t>
      </w:r>
      <w:r w:rsidRPr="0007113B" w:rsidR="00861090">
        <w:rPr>
          <w:lang w:val="id-ID"/>
        </w:rPr>
        <w:t xml:space="preserve"> api</w:t>
      </w:r>
      <w:r w:rsidRPr="0007113B">
        <w:rPr>
          <w:lang w:val="id-ID"/>
        </w:rPr>
        <w:t xml:space="preserve">, dan emisi gas buang. Peralatan yang digunakan mencakup kompor berbahan bakar minyak bekas dengan </w:t>
      </w:r>
      <w:r w:rsidRPr="0007113B">
        <w:rPr>
          <w:i/>
          <w:iCs/>
          <w:lang w:val="id-ID"/>
        </w:rPr>
        <w:t>preheating</w:t>
      </w:r>
      <w:r w:rsidRPr="0007113B" w:rsidR="00F4601D">
        <w:rPr>
          <w:i/>
          <w:iCs/>
          <w:lang w:val="id-ID"/>
        </w:rPr>
        <w:t xml:space="preserve"> </w:t>
      </w:r>
      <w:r w:rsidRPr="0007113B" w:rsidR="00F84A5C">
        <w:rPr>
          <w:lang w:val="id-ID"/>
        </w:rPr>
        <w:t>bahan bakar</w:t>
      </w:r>
      <w:r w:rsidRPr="0007113B">
        <w:rPr>
          <w:lang w:val="id-ID"/>
        </w:rPr>
        <w:t>, tangki bahan bakar, termometer, timbangan digital</w:t>
      </w:r>
      <w:r w:rsidRPr="0007113B" w:rsidR="00861090">
        <w:rPr>
          <w:lang w:val="id-ID"/>
        </w:rPr>
        <w:t xml:space="preserve"> </w:t>
      </w:r>
      <w:r w:rsidRPr="0007113B" w:rsidR="00861090">
        <w:rPr>
          <w:lang w:val="en-ID"/>
        </w:rPr>
        <w:t>(akurasi ± 0,1 gr)</w:t>
      </w:r>
      <w:r w:rsidRPr="0007113B">
        <w:rPr>
          <w:lang w:val="id-ID"/>
        </w:rPr>
        <w:t>, termokopel tipe K</w:t>
      </w:r>
      <w:r w:rsidRPr="0007113B" w:rsidR="00861090">
        <w:rPr>
          <w:lang w:val="id-ID"/>
        </w:rPr>
        <w:t xml:space="preserve"> </w:t>
      </w:r>
      <w:r w:rsidRPr="0007113B" w:rsidR="00861090">
        <w:rPr>
          <w:lang w:val="en-ID"/>
        </w:rPr>
        <w:t xml:space="preserve">(diameter 1,6 mm, panjang 20 cm, dan suhu maksimum 1300 </w:t>
      </w:r>
      <w:r w:rsidRPr="0007113B" w:rsidR="00861090">
        <w:rPr>
          <w:vertAlign w:val="superscript"/>
          <w:lang w:val="en-ID"/>
        </w:rPr>
        <w:t>o</w:t>
      </w:r>
      <w:r w:rsidRPr="0007113B" w:rsidR="00861090">
        <w:rPr>
          <w:lang w:val="en-ID"/>
        </w:rPr>
        <w:t>C),</w:t>
      </w:r>
      <w:r w:rsidRPr="0007113B">
        <w:rPr>
          <w:lang w:val="id-ID"/>
        </w:rPr>
        <w:t xml:space="preserve"> gas analyzer</w:t>
      </w:r>
      <w:r w:rsidRPr="0007113B" w:rsidR="00861090">
        <w:rPr>
          <w:lang w:val="id-ID"/>
        </w:rPr>
        <w:t xml:space="preserve"> </w:t>
      </w:r>
      <w:r w:rsidRPr="0007113B" w:rsidR="00861090">
        <w:rPr>
          <w:i/>
          <w:iCs/>
          <w:lang w:val="en-ID"/>
        </w:rPr>
        <w:t>(Qrotech Automotive Gas Analyzer)</w:t>
      </w:r>
      <w:r w:rsidRPr="0007113B">
        <w:rPr>
          <w:lang w:val="id-ID"/>
        </w:rPr>
        <w:t xml:space="preserve">, </w:t>
      </w:r>
      <w:r w:rsidRPr="0007113B">
        <w:rPr>
          <w:i/>
          <w:iCs/>
          <w:lang w:val="id-ID"/>
        </w:rPr>
        <w:t>flow meter</w:t>
      </w:r>
      <w:r w:rsidRPr="0007113B" w:rsidR="00861090">
        <w:rPr>
          <w:lang w:val="id-ID"/>
        </w:rPr>
        <w:t xml:space="preserve"> </w:t>
      </w:r>
      <w:r w:rsidRPr="0007113B" w:rsidR="00861090">
        <w:rPr>
          <w:lang w:val="en-ID"/>
        </w:rPr>
        <w:t>(100-1000 ml/min)</w:t>
      </w:r>
      <w:r w:rsidRPr="0007113B">
        <w:rPr>
          <w:lang w:val="id-ID"/>
        </w:rPr>
        <w:t xml:space="preserve">, dan </w:t>
      </w:r>
      <w:r w:rsidRPr="0007113B">
        <w:rPr>
          <w:i/>
          <w:iCs/>
          <w:lang w:val="id-ID"/>
        </w:rPr>
        <w:t>data logger</w:t>
      </w:r>
      <w:r w:rsidRPr="0007113B">
        <w:rPr>
          <w:lang w:val="id-ID"/>
        </w:rPr>
        <w:t xml:space="preserve"> </w:t>
      </w:r>
      <w:r w:rsidRPr="0007113B" w:rsidR="00861090">
        <w:rPr>
          <w:i/>
          <w:iCs/>
          <w:lang w:val="en-ID"/>
        </w:rPr>
        <w:t>(type USB-4718, 8-ch Thermocouple Input USB Module)</w:t>
      </w:r>
      <w:r w:rsidRPr="0007113B" w:rsidR="00861090">
        <w:rPr>
          <w:lang w:val="id-ID"/>
        </w:rPr>
        <w:t xml:space="preserve"> </w:t>
      </w:r>
      <w:r w:rsidRPr="0007113B" w:rsidR="00807104">
        <w:rPr>
          <w:lang w:val="id-ID"/>
        </w:rPr>
        <w:fldChar w:fldCharType="begin" w:fldLock="1"/>
      </w:r>
      <w:r w:rsidRPr="0007113B" w:rsidR="00A1528E">
        <w:rPr>
          <w:lang w:val="id-ID"/>
        </w:rPr>
        <w:instrText>ADDIN CSL_CITATION {"citationItems":[{"id":"ITEM-1","itemData":{"DOI":"10.1016/j.rineng.2022.100658","ISSN":"25901230","abstract":"The low efficiency of liquefied petroleum gas (LPG) stoves, one of which is caused by the loss of environmental heat. In order to increase efficiency, the heat loss will be captured and reflected back using a finned heat reflector. The purpose of this study was to find the effect of the material and diameter of the finned heat reflector on the efficiency and distribution of flame temperature on the LPG stove. The research was conducted on an LPG stove with a finned heat reflector installed. The conical reflector model is truncated facing upwards and made of fins that are directed at the inner side. Efficiency measurement is done by Water Boiling Test (WBT) while temperature distribution by experiment. The reflector material is varied, namely aluminum, stainless steel, and aluminum foil, while the diameter of the reflector is also varied, namely 145 mm–165 mm with a range of 5 mm. The efficiency value obtained is also compared with conventional stoves. Based on the results of the study, it was found that the finned heat reflector with 155 mm diameter stainless steel material produced the highest efficiency of 60%, an increase of 7.9% compared to conventional stoves. It was also found that the material and diameter produced the largest heat area and the highest temperature. This happens because of the complete combustion process and the optimal function of the reflector in reflecting back the radiation heat losses.","author":[{"dropping-particle":"","family":"Widodo","given":"A.","non-dropping-particle":"","parse-names":false,"suffix":""},{"dropping-particle":"","family":"Sudarno","given":"","non-dropping-particle":"","parse-names":false,"suffix":""},{"dropping-particle":"","family":"Soeparman","given":"S.","non-dropping-particle":"","parse-names":false,"suffix":""},{"dropping-particle":"","family":"Wahyudi","given":"S.","non-dropping-particle":"","parse-names":false,"suffix":""}],"container-title":"Results in Engineering","id":"ITEM-1","issued":{"date-parts":[["2022"]]},"title":"The effect of finned heat reflector materials and diameters on the efficiency and temperature distribution of liquefied petroleum gas stove","type":"article-journal","volume":"16"},"uris":["http://www.mendeley.com/documents/?uuid=19c7dd3a-5649-3413-a201-0af3b76b4fdc"]},{"id":"ITEM-2","itemData":{"id":"ITEM-2","issued":{"date-parts":[["0"]]},"title":"Effect of the ember element in increasing the efficiency of LPG stoves, JAES (Sudarno, dkk, 2021).pdf","type":"article"},"uris":["http://www.mendeley.com/documents/?uuid=51c166b1-51ac-45f2-a65b-bdb3c9dfbe70"]},{"id":"ITEM-3","itemData":{"DOI":"10.5937/jaes0-48185","ISSN":"1451-4117","abstract":"This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Science","id":"ITEM-3","issued":{"date-parts":[["2024"]]},"page":"1-9","title":"the Effect of Fuel Preheating on the Performance of Used Oil Fuel Stoves","type":"article-journal"},"uris":["http://www.mendeley.com/documents/?uuid=66148784-e38c-49fa-a84e-67495335600d"]},{"id":"ITEM-4","itemData":{"DOI":"10.14716/ijtech.v12i1.3958","ISSN":"20872100","abstract":"The objective in this study was to construct a finned heat radiation reflector using a cut cone-shaped stainless steel plate. In addition, its efficiency was examined by the water boiling test by varying the fin rows and angles. Measurements were performed on reflectors with one, two and three rows of fins, which were compared with conventional stoves with and finless reflectors. Furthermore, fin angles of 5°, 10°, 15°, 20° and 25° were evaluated by the variation in the fin rows, and the most efficient configuration was investigated. Results revealed that finned reflectors increase the efficiency of liquefied petroleum gas stoves. The highest efficiency (60%) was obtained for the reflector with three finned rows and a fin angle of 10°. Compared with those of conventional reflectors and reflectors without fins, 7.87% and 4.47% increase in the efficiency was observed, respectively. Furthermore, the use of finned reflectors enhanced the area of complete combustion.","author":[{"dropping-particle":"","family":"Sudarno","given":"","non-dropping-particle":"","parse-names":false,"suffix":""},{"dropping-particle":"","family":"Soeparman","given":"S.","non-dropping-particle":"","parse-names":false,"suffix":""},{"dropping-particle":"","family":"Wahyudi","given":"S.","non-dropping-particle":"","parse-names":false,"suffix":""},{"dropping-particle":"","family":"Widodo","given":"A.S.","non-dropping-particle":"","parse-names":false,"suffix":""}],"container-title":"International Journal of Technology","id":"ITEM-4","issue":"1","issued":{"date-parts":[["2021"]]},"title":"Construction of a Finned Heat Radiation Reflector for Improved Efficiency of Liquefied Petroleum Gas Stoves","type":"article-journal","volume":"12"},"uris":["http://www.mendeley.com/documents/?uuid=f79dcb8f-46f4-32d6-b5d7-1f29c2784885"]}],"mendeley":{"formattedCitation":"[15]–[18]","plainTextFormattedCitation":"[15]–[18]","previouslyFormattedCitation":"(&lt;i&gt;Effect of the Ember Element in Increasing the Efficiency of LPG Stoves, JAES (Sudarno, Dkk, 2021).Pdf&lt;/i&gt;, n.d.; Sudarno et al., 2021b, 2024; Widodo et al., 2022)"},"properties":{"noteIndex":0},"schema":"https://github.com/citation-style-language/schema/raw/master/csl-citation.json"}</w:instrText>
      </w:r>
      <w:r w:rsidRPr="0007113B" w:rsidR="00807104">
        <w:rPr>
          <w:lang w:val="id-ID"/>
        </w:rPr>
        <w:fldChar w:fldCharType="separate"/>
      </w:r>
      <w:r w:rsidRPr="0007113B" w:rsidR="00A1528E">
        <w:rPr>
          <w:noProof/>
          <w:lang w:val="id-ID"/>
        </w:rPr>
        <w:t>[15]–[18]</w:t>
      </w:r>
      <w:r w:rsidRPr="0007113B" w:rsidR="00807104">
        <w:rPr>
          <w:lang w:val="id-ID"/>
        </w:rPr>
        <w:fldChar w:fldCharType="end"/>
      </w:r>
      <w:r w:rsidRPr="0007113B">
        <w:rPr>
          <w:lang w:val="id-ID"/>
        </w:rPr>
        <w:t>.</w:t>
      </w:r>
      <w:r w:rsidRPr="0007113B" w:rsidR="00F84A5C">
        <w:rPr>
          <w:lang w:val="id-ID"/>
        </w:rPr>
        <w:t xml:space="preserve"> </w:t>
      </w:r>
      <w:r w:rsidRPr="0007113B" w:rsidR="006D4C92">
        <w:rPr>
          <w:lang w:val="id-ID"/>
        </w:rPr>
        <w:t xml:space="preserve">Bejana yang digunakan </w:t>
      </w:r>
      <w:r w:rsidRPr="0007113B" w:rsidR="00D65939">
        <w:rPr>
          <w:lang w:val="id-ID"/>
        </w:rPr>
        <w:t>ber</w:t>
      </w:r>
      <w:r w:rsidRPr="0007113B" w:rsidR="006D4C92">
        <w:rPr>
          <w:lang w:val="id-ID"/>
        </w:rPr>
        <w:t>diameter 40 cm dan fluks panas 7 W/cm</w:t>
      </w:r>
      <w:r w:rsidRPr="0007113B" w:rsidR="006D4C92">
        <w:rPr>
          <w:vertAlign w:val="superscript"/>
          <w:lang w:val="id-ID"/>
        </w:rPr>
        <w:t>2</w:t>
      </w:r>
      <w:r w:rsidRPr="0007113B" w:rsidR="006D4C92">
        <w:rPr>
          <w:lang w:val="id-ID"/>
        </w:rPr>
        <w:t xml:space="preserve">, yang setara dengan daya kompor sebesar 8,896 kW. Massa air </w:t>
      </w:r>
      <w:r w:rsidRPr="0007113B" w:rsidR="00D65939">
        <w:rPr>
          <w:lang w:val="id-ID"/>
        </w:rPr>
        <w:t xml:space="preserve">2/3 </w:t>
      </w:r>
      <w:r w:rsidRPr="0007113B" w:rsidR="006D4C92">
        <w:rPr>
          <w:lang w:val="id-ID"/>
        </w:rPr>
        <w:t xml:space="preserve">volume bejana, </w:t>
      </w:r>
      <w:r w:rsidRPr="0007113B" w:rsidR="00D65939">
        <w:rPr>
          <w:lang w:val="id-ID"/>
        </w:rPr>
        <w:t xml:space="preserve">yaitu  </w:t>
      </w:r>
      <w:r w:rsidRPr="0007113B" w:rsidR="006D4C92">
        <w:rPr>
          <w:lang w:val="id-ID"/>
        </w:rPr>
        <w:t>15,7893 kg</w:t>
      </w:r>
      <w:r w:rsidRPr="0007113B" w:rsidR="00A36689">
        <w:rPr>
          <w:lang w:val="id-ID"/>
        </w:rPr>
        <w:t xml:space="preserve"> </w:t>
      </w:r>
      <w:r w:rsidRPr="0007113B" w:rsidR="00A36689">
        <w:rPr>
          <w:lang w:val="id-ID"/>
        </w:rPr>
        <w:fldChar w:fldCharType="begin" w:fldLock="1"/>
      </w:r>
      <w:r w:rsidRPr="0007113B" w:rsidR="00A1528E">
        <w:rPr>
          <w:lang w:val="id-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07113B" w:rsidR="00A36689">
        <w:rPr>
          <w:lang w:val="id-ID"/>
        </w:rPr>
        <w:fldChar w:fldCharType="separate"/>
      </w:r>
      <w:r w:rsidRPr="0007113B" w:rsidR="00A1528E">
        <w:rPr>
          <w:noProof/>
          <w:lang w:val="id-ID"/>
        </w:rPr>
        <w:t>[17]</w:t>
      </w:r>
      <w:r w:rsidRPr="0007113B" w:rsidR="00A36689">
        <w:rPr>
          <w:lang w:val="id-ID"/>
        </w:rPr>
        <w:fldChar w:fldCharType="end"/>
      </w:r>
      <w:r w:rsidRPr="0007113B" w:rsidR="006D4C92">
        <w:rPr>
          <w:lang w:val="id-ID"/>
        </w:rPr>
        <w:t>.</w:t>
      </w:r>
      <w:r w:rsidRPr="0007113B" w:rsidR="00D65939">
        <w:rPr>
          <w:lang w:val="id-ID"/>
        </w:rPr>
        <w:t xml:space="preserve"> </w:t>
      </w:r>
      <w:r w:rsidRPr="0007113B" w:rsidR="00F84A5C">
        <w:rPr>
          <w:lang w:val="id-ID"/>
        </w:rPr>
        <w:t xml:space="preserve">Model kompor yang digunakan ditunjukkan pada gambar 1. </w:t>
      </w:r>
    </w:p>
    <w:p w:rsidR="00386C50" w:rsidP="00E27E38" w14:paraId="36C5D8F9" w14:textId="77777777">
      <w:pPr>
        <w:pStyle w:val="BodyText"/>
        <w:spacing w:before="118" w:line="275" w:lineRule="exact"/>
        <w:ind w:left="142" w:firstLine="734"/>
        <w:rPr>
          <w:color w:val="0070C0"/>
          <w:lang w:val="id-ID"/>
        </w:rPr>
        <w:sectPr w:rsidSect="00E27E38">
          <w:footerReference w:type="default" r:id="rId8"/>
          <w:type w:val="continuous"/>
          <w:pgSz w:w="11910" w:h="16840"/>
          <w:pgMar w:top="1340" w:right="1133" w:bottom="980" w:left="1275" w:header="0" w:footer="788" w:gutter="0"/>
          <w:cols w:num="2" w:space="720" w:equalWidth="0">
            <w:col w:w="4442" w:space="355"/>
            <w:col w:w="4705" w:space="0"/>
          </w:cols>
        </w:sectPr>
      </w:pPr>
    </w:p>
    <w:p w:rsidR="00386C50" w:rsidP="00E27E38" w14:paraId="2B278379" w14:textId="2C9889A5">
      <w:pPr>
        <w:pStyle w:val="BodyText"/>
        <w:spacing w:before="118" w:line="275" w:lineRule="exact"/>
        <w:ind w:left="142" w:firstLine="734"/>
        <w:rPr>
          <w:color w:val="0070C0"/>
          <w:lang w:val="id-ID"/>
        </w:rPr>
      </w:pPr>
      <w:r>
        <w:rPr>
          <w:noProof/>
          <w:color w:val="0070C0"/>
          <w:lang w:val="id-ID"/>
        </w:rPr>
        <mc:AlternateContent>
          <mc:Choice Requires="wpg">
            <w:drawing>
              <wp:anchor distT="0" distB="0" distL="114300" distR="114300" simplePos="0" relativeHeight="251672576" behindDoc="0" locked="0" layoutInCell="1" allowOverlap="1">
                <wp:simplePos x="0" y="0"/>
                <wp:positionH relativeFrom="column">
                  <wp:posOffset>494074</wp:posOffset>
                </wp:positionH>
                <wp:positionV relativeFrom="paragraph">
                  <wp:posOffset>108767</wp:posOffset>
                </wp:positionV>
                <wp:extent cx="5189855" cy="1855598"/>
                <wp:effectExtent l="0" t="0" r="0" b="0"/>
                <wp:wrapNone/>
                <wp:docPr id="778151796" name="Group 121"/>
                <wp:cNvGraphicFramePr/>
                <a:graphic xmlns:a="http://schemas.openxmlformats.org/drawingml/2006/main">
                  <a:graphicData uri="http://schemas.microsoft.com/office/word/2010/wordprocessingGroup">
                    <wpg:wgp xmlns:wpg="http://schemas.microsoft.com/office/word/2010/wordprocessingGroup">
                      <wpg:cNvGrpSpPr/>
                      <wpg:grpSpPr>
                        <a:xfrm>
                          <a:off x="0" y="0"/>
                          <a:ext cx="5189855" cy="1855598"/>
                          <a:chOff x="0" y="0"/>
                          <a:chExt cx="5189855" cy="1855598"/>
                        </a:xfrm>
                      </wpg:grpSpPr>
                      <wps:wsp xmlns:wps="http://schemas.microsoft.com/office/word/2010/wordprocessingShape">
                        <wps:cNvPr id="1729560719" name="Text Box 13"/>
                        <wps:cNvSpPr txBox="1">
                          <a:spLocks noChangeArrowheads="1"/>
                        </wps:cNvSpPr>
                        <wps:spPr bwMode="auto">
                          <a:xfrm>
                            <a:off x="4671588" y="1466662"/>
                            <a:ext cx="473465" cy="3889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C6220" w:rsidRPr="00DE00A0" w:rsidP="005C6220" w14:textId="4221D22C">
                              <w:pPr>
                                <w:jc w:val="center"/>
                                <w:rPr>
                                  <w:rFonts w:cs="Arial"/>
                                </w:rPr>
                              </w:pPr>
                              <w:r w:rsidRPr="00DE00A0">
                                <w:rPr>
                                  <w:rFonts w:cs="Arial"/>
                                </w:rPr>
                                <w:t>(</w:t>
                              </w:r>
                              <w:r>
                                <w:rPr>
                                  <w:rFonts w:cs="Arial"/>
                                </w:rPr>
                                <w:t>a</w:t>
                              </w:r>
                              <w:r w:rsidRPr="00DE00A0">
                                <w:rPr>
                                  <w:rFonts w:cs="Arial"/>
                                </w:rPr>
                                <w:t>)</w:t>
                              </w:r>
                            </w:p>
                          </w:txbxContent>
                        </wps:txbx>
                        <wps:bodyPr rot="0" vert="horz" wrap="square" lIns="91440" tIns="45720" rIns="91440" bIns="45720" anchor="t" anchorCtr="0" upright="1"/>
                      </wps:wsp>
                      <pic:pic xmlns:pic="http://schemas.openxmlformats.org/drawingml/2006/picture">
                        <pic:nvPicPr>
                          <pic:cNvPr id="263212388" name="Picture 120"/>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9855" cy="1802130"/>
                          </a:xfrm>
                          <a:prstGeom prst="rect">
                            <a:avLst/>
                          </a:prstGeom>
                          <a:noFill/>
                        </pic:spPr>
                      </pic:pic>
                    </wpg:wgp>
                  </a:graphicData>
                </a:graphic>
              </wp:anchor>
            </w:drawing>
          </mc:Choice>
          <mc:Fallback>
            <w:pict>
              <v:group id="Group 121" o:spid="_x0000_s1029" style="width:408.65pt;height:146.1pt;margin-top:8.55pt;margin-left:38.9pt;position:absolute;z-index:251673600" coordsize="51898,18555">
                <v:shapetype id="_x0000_t202" coordsize="21600,21600" o:spt="202" path="m,l,21600r21600,l21600,xe">
                  <v:stroke joinstyle="miter"/>
                  <v:path gradientshapeok="t" o:connecttype="rect"/>
                </v:shapetype>
                <v:shape id="Text Box 13" o:spid="_x0000_s1030" type="#_x0000_t202" style="width:4735;height:3889;left:46715;mso-wrap-style:square;position:absolute;top:14666;v-text-anchor:top;visibility:visible" filled="f" stroked="f">
                  <v:textbox>
                    <w:txbxContent>
                      <w:p w:rsidR="005C6220" w:rsidRPr="00DE00A0" w:rsidP="005C6220" w14:paraId="3EFAA2BE" w14:textId="4221D22C">
                        <w:pPr>
                          <w:jc w:val="center"/>
                          <w:rPr>
                            <w:rFonts w:cs="Arial"/>
                          </w:rPr>
                        </w:pPr>
                        <w:r w:rsidRPr="00DE00A0">
                          <w:rPr>
                            <w:rFonts w:cs="Arial"/>
                          </w:rPr>
                          <w:t>(</w:t>
                        </w:r>
                        <w:r>
                          <w:rPr>
                            <w:rFonts w:cs="Arial"/>
                          </w:rPr>
                          <w:t>a</w:t>
                        </w:r>
                        <w:r w:rsidRPr="00DE00A0">
                          <w:rPr>
                            <w:rFonts w:cs="Aria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31" type="#_x0000_t75" style="width:51898;height:18021;mso-wrap-style:square;position:absolute;visibility:visible">
                  <v:imagedata r:id="rId9" o:title=""/>
                </v:shape>
              </v:group>
            </w:pict>
          </mc:Fallback>
        </mc:AlternateContent>
      </w:r>
    </w:p>
    <w:p w:rsidR="00F84A5C" w:rsidP="00E27E38" w14:paraId="3D8219E0" w14:textId="287A1665">
      <w:pPr>
        <w:pStyle w:val="BodyText"/>
        <w:spacing w:before="118" w:line="275" w:lineRule="exact"/>
        <w:ind w:left="142" w:firstLine="734"/>
        <w:rPr>
          <w:color w:val="0070C0"/>
          <w:lang w:val="id-ID"/>
        </w:rPr>
      </w:pPr>
    </w:p>
    <w:p w:rsidR="00386C50" w:rsidP="00E27E38" w14:paraId="07B00B5F" w14:textId="0B56342C">
      <w:pPr>
        <w:pStyle w:val="BodyText"/>
        <w:spacing w:before="118" w:line="275" w:lineRule="exact"/>
        <w:ind w:left="142" w:firstLine="734"/>
        <w:rPr>
          <w:color w:val="0070C0"/>
          <w:lang w:val="id-ID"/>
        </w:rPr>
      </w:pPr>
    </w:p>
    <w:p w:rsidR="00386C50" w:rsidP="00E27E38" w14:paraId="110FAFC0" w14:textId="77777777">
      <w:pPr>
        <w:pStyle w:val="BodyText"/>
        <w:spacing w:before="118" w:line="275" w:lineRule="exact"/>
        <w:ind w:left="142" w:firstLine="734"/>
        <w:rPr>
          <w:color w:val="0070C0"/>
          <w:lang w:val="id-ID"/>
        </w:rPr>
      </w:pPr>
    </w:p>
    <w:p w:rsidR="00386C50" w:rsidP="00E27E38" w14:paraId="2C9CD35D" w14:textId="6FDD506A">
      <w:pPr>
        <w:pStyle w:val="BodyText"/>
        <w:spacing w:before="118" w:line="275" w:lineRule="exact"/>
        <w:ind w:left="142" w:firstLine="734"/>
        <w:rPr>
          <w:color w:val="0070C0"/>
          <w:lang w:val="id-ID"/>
        </w:rPr>
      </w:pPr>
    </w:p>
    <w:p w:rsidR="00386C50" w:rsidP="00E27E38" w14:paraId="26F25A94" w14:textId="58F125E7">
      <w:pPr>
        <w:pStyle w:val="BodyText"/>
        <w:spacing w:before="118" w:line="275" w:lineRule="exact"/>
        <w:ind w:left="142" w:firstLine="734"/>
        <w:rPr>
          <w:color w:val="0070C0"/>
          <w:lang w:val="id-ID"/>
        </w:rPr>
      </w:pPr>
    </w:p>
    <w:p w:rsidR="00386C50" w:rsidP="00E27E38" w14:paraId="4E12DE77" w14:textId="3C9F81C7">
      <w:pPr>
        <w:pStyle w:val="BodyText"/>
        <w:spacing w:before="118" w:line="275" w:lineRule="exact"/>
        <w:ind w:left="142" w:firstLine="734"/>
        <w:rPr>
          <w:color w:val="0070C0"/>
          <w:lang w:val="id-ID"/>
        </w:rPr>
      </w:pPr>
    </w:p>
    <w:p w:rsidR="00386C50" w:rsidP="00E27E38" w14:paraId="62A88565" w14:textId="45CD799F">
      <w:pPr>
        <w:pStyle w:val="BodyText"/>
        <w:spacing w:before="118" w:line="275" w:lineRule="exact"/>
        <w:ind w:left="142" w:firstLine="734"/>
        <w:rPr>
          <w:color w:val="0070C0"/>
          <w:lang w:val="id-ID"/>
        </w:rPr>
      </w:pPr>
      <w:r>
        <w:rPr>
          <w:noProof/>
          <w:color w:val="0070C0"/>
          <w:lang w:val="id-ID"/>
        </w:rPr>
        <w:drawing>
          <wp:anchor distT="0" distB="0" distL="114300" distR="114300" simplePos="0" relativeHeight="251664384" behindDoc="1" locked="0" layoutInCell="1" allowOverlap="1">
            <wp:simplePos x="0" y="0"/>
            <wp:positionH relativeFrom="column">
              <wp:posOffset>565948</wp:posOffset>
            </wp:positionH>
            <wp:positionV relativeFrom="paragraph">
              <wp:posOffset>100537</wp:posOffset>
            </wp:positionV>
            <wp:extent cx="5314950" cy="1758950"/>
            <wp:effectExtent l="0" t="0" r="0" b="0"/>
            <wp:wrapNone/>
            <wp:docPr id="8023896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9666" name="Picture 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0" cy="1758950"/>
                    </a:xfrm>
                    <a:prstGeom prst="rect">
                      <a:avLst/>
                    </a:prstGeom>
                    <a:noFill/>
                  </pic:spPr>
                </pic:pic>
              </a:graphicData>
            </a:graphic>
            <wp14:sizeRelH relativeFrom="page">
              <wp14:pctWidth>0</wp14:pctWidth>
            </wp14:sizeRelH>
            <wp14:sizeRelV relativeFrom="page">
              <wp14:pctHeight>0</wp14:pctHeight>
            </wp14:sizeRelV>
          </wp:anchor>
        </w:drawing>
      </w:r>
    </w:p>
    <w:p w:rsidR="00386C50" w:rsidP="00E27E38" w14:paraId="3A7106D5" w14:textId="2955A4EB">
      <w:pPr>
        <w:pStyle w:val="BodyText"/>
        <w:spacing w:before="118" w:line="275" w:lineRule="exact"/>
        <w:ind w:left="142" w:firstLine="734"/>
        <w:rPr>
          <w:color w:val="0070C0"/>
          <w:lang w:val="id-ID"/>
        </w:rPr>
      </w:pPr>
    </w:p>
    <w:p w:rsidR="00386C50" w:rsidP="00E27E38" w14:paraId="6E12F964" w14:textId="66E726B3">
      <w:pPr>
        <w:pStyle w:val="BodyText"/>
        <w:spacing w:before="118" w:line="275" w:lineRule="exact"/>
        <w:ind w:left="142" w:firstLine="734"/>
        <w:rPr>
          <w:color w:val="0070C0"/>
          <w:lang w:val="id-ID"/>
        </w:rPr>
      </w:pPr>
    </w:p>
    <w:p w:rsidR="00F84A5C" w:rsidP="00E27E38" w14:paraId="5AF3633C" w14:textId="587C2A13">
      <w:pPr>
        <w:pStyle w:val="BodyText"/>
        <w:spacing w:before="118" w:line="275" w:lineRule="exact"/>
        <w:ind w:left="142" w:firstLine="734"/>
        <w:rPr>
          <w:color w:val="0070C0"/>
          <w:lang w:val="id-ID"/>
        </w:rPr>
      </w:pPr>
    </w:p>
    <w:p w:rsidR="00F84A5C" w:rsidP="00E27E38" w14:paraId="2902744C" w14:textId="22CAD4C8">
      <w:pPr>
        <w:pStyle w:val="BodyText"/>
        <w:spacing w:before="118" w:line="275" w:lineRule="exact"/>
        <w:ind w:left="142" w:firstLine="734"/>
        <w:rPr>
          <w:color w:val="0070C0"/>
          <w:lang w:val="id-ID"/>
        </w:rPr>
      </w:pPr>
    </w:p>
    <w:p w:rsidR="005C6220" w:rsidP="00E27E38" w14:paraId="4E8A8881" w14:textId="15022AA9">
      <w:pPr>
        <w:pStyle w:val="BodyText"/>
        <w:spacing w:before="118" w:line="275" w:lineRule="exact"/>
        <w:ind w:left="142" w:firstLine="734"/>
        <w:rPr>
          <w:color w:val="0070C0"/>
          <w:lang w:val="id-ID"/>
        </w:rPr>
      </w:pPr>
    </w:p>
    <w:p w:rsidR="005C6220" w:rsidP="00E27E38" w14:paraId="25D38953" w14:textId="720FEBA3">
      <w:pPr>
        <w:pStyle w:val="BodyText"/>
        <w:spacing w:before="118" w:line="275" w:lineRule="exact"/>
        <w:ind w:left="142" w:firstLine="734"/>
        <w:rPr>
          <w:color w:val="0070C0"/>
          <w:lang w:val="id-ID"/>
        </w:rPr>
      </w:pPr>
    </w:p>
    <w:p w:rsidR="00F84A5C" w:rsidRPr="007E056D" w:rsidP="005C6220" w14:paraId="4498D255" w14:textId="53D88B5A">
      <w:pPr>
        <w:pStyle w:val="BodyText"/>
        <w:spacing w:before="118" w:line="275" w:lineRule="exact"/>
        <w:ind w:left="142"/>
        <w:jc w:val="center"/>
        <w:rPr>
          <w:lang w:val="id-ID"/>
        </w:rPr>
      </w:pPr>
      <w:r w:rsidRPr="007E056D">
        <w:t xml:space="preserve">Gambar 1. </w:t>
      </w:r>
      <w:r w:rsidRPr="007E056D" w:rsidR="005C6220">
        <w:t xml:space="preserve">(a) </w:t>
      </w:r>
      <w:r w:rsidRPr="007E056D">
        <w:t xml:space="preserve">Model kompor </w:t>
      </w:r>
      <w:bookmarkStart w:id="0" w:name="_Hlk192103170"/>
      <w:r w:rsidRPr="007E056D">
        <w:t xml:space="preserve">dengan </w:t>
      </w:r>
      <w:r w:rsidRPr="007E056D">
        <w:rPr>
          <w:i/>
          <w:iCs/>
        </w:rPr>
        <w:t>preheating</w:t>
      </w:r>
      <w:r w:rsidRPr="007E056D">
        <w:t xml:space="preserve"> bahan bakar</w:t>
      </w:r>
      <w:bookmarkEnd w:id="0"/>
      <w:r w:rsidRPr="007E056D" w:rsidR="005C6220">
        <w:t xml:space="preserve">; (b) Foto </w:t>
      </w:r>
      <w:r w:rsidRPr="007E056D" w:rsidR="005C6220">
        <w:rPr>
          <w:lang w:val="id-ID"/>
        </w:rPr>
        <w:t xml:space="preserve">kompor </w:t>
      </w:r>
      <w:r w:rsidRPr="007E056D" w:rsidR="005C6220">
        <w:t xml:space="preserve">dengan </w:t>
      </w:r>
      <w:r w:rsidRPr="007E056D" w:rsidR="005C6220">
        <w:rPr>
          <w:i/>
          <w:iCs/>
        </w:rPr>
        <w:t>preheating</w:t>
      </w:r>
      <w:r w:rsidRPr="007E056D" w:rsidR="005C6220">
        <w:t xml:space="preserve"> bahan bakar</w:t>
      </w:r>
      <w:r w:rsidRPr="007E056D" w:rsidR="005C6220">
        <w:rPr>
          <w:lang w:val="id-ID"/>
        </w:rPr>
        <w:t xml:space="preserve"> </w:t>
      </w:r>
      <w:r w:rsidRPr="007E056D" w:rsidR="00A36689">
        <w:rPr>
          <w:lang w:val="id-ID"/>
        </w:rPr>
        <w:fldChar w:fldCharType="begin" w:fldLock="1"/>
      </w:r>
      <w:r w:rsidR="00A1528E">
        <w:rPr>
          <w:lang w:val="id-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7E056D" w:rsidR="00A36689">
        <w:rPr>
          <w:lang w:val="id-ID"/>
        </w:rPr>
        <w:fldChar w:fldCharType="separate"/>
      </w:r>
      <w:r w:rsidRPr="00A1528E" w:rsidR="00A1528E">
        <w:rPr>
          <w:noProof/>
          <w:lang w:val="id-ID"/>
        </w:rPr>
        <w:t>[17]</w:t>
      </w:r>
      <w:r w:rsidRPr="007E056D" w:rsidR="00A36689">
        <w:rPr>
          <w:lang w:val="id-ID"/>
        </w:rPr>
        <w:fldChar w:fldCharType="end"/>
      </w:r>
    </w:p>
    <w:p w:rsidR="005C6220" w:rsidP="005C6220" w14:paraId="466FC9ED" w14:textId="510C150F">
      <w:pPr>
        <w:pStyle w:val="BodyText"/>
        <w:spacing w:before="118" w:line="275" w:lineRule="exact"/>
        <w:ind w:left="142"/>
        <w:jc w:val="center"/>
        <w:rPr>
          <w:color w:val="0070C0"/>
          <w:lang w:val="id-ID"/>
        </w:rPr>
      </w:pPr>
    </w:p>
    <w:p w:rsidR="005C6220" w:rsidP="00E27E38" w14:paraId="43E7D794" w14:textId="77777777">
      <w:pPr>
        <w:pStyle w:val="BodyText"/>
        <w:spacing w:before="118" w:line="275" w:lineRule="exact"/>
        <w:ind w:left="142" w:firstLine="734"/>
        <w:rPr>
          <w:color w:val="0070C0"/>
          <w:lang w:val="id-ID"/>
        </w:rPr>
        <w:sectPr w:rsidSect="00386C50">
          <w:pgSz w:w="11910" w:h="16840"/>
          <w:pgMar w:top="1340" w:right="1133" w:bottom="980" w:left="1275" w:header="0" w:footer="788" w:gutter="0"/>
          <w:cols w:space="355"/>
        </w:sectPr>
      </w:pPr>
    </w:p>
    <w:p w:rsidR="00E27E38" w:rsidP="00CD266F" w14:paraId="62EE0061" w14:textId="1C4467A3">
      <w:pPr>
        <w:pStyle w:val="BodyText"/>
        <w:spacing w:before="118" w:line="275" w:lineRule="exact"/>
        <w:ind w:left="142" w:firstLine="709"/>
        <w:rPr>
          <w:lang w:val="id-ID"/>
        </w:rPr>
      </w:pPr>
      <w:r w:rsidRPr="003D7CD3">
        <w:rPr>
          <w:lang w:val="id-ID"/>
        </w:rPr>
        <w:t>Oli bekas yang digunakan berasal dari kendaraan bermotor, disaring melalui tiga lapis kain katun untuk menghilangkan kotoran</w:t>
      </w:r>
      <w:r w:rsidRPr="003D7CD3" w:rsidR="00A458D2">
        <w:rPr>
          <w:lang w:val="id-ID"/>
        </w:rPr>
        <w:t xml:space="preserve">, dengan </w:t>
      </w:r>
      <w:r w:rsidRPr="003D7CD3" w:rsidR="003E05E2">
        <w:rPr>
          <w:lang w:val="id-ID"/>
        </w:rPr>
        <w:t xml:space="preserve">nilai </w:t>
      </w:r>
      <w:r w:rsidRPr="003D7CD3" w:rsidR="00A458D2">
        <w:rPr>
          <w:lang w:val="id-ID"/>
        </w:rPr>
        <w:t xml:space="preserve">kalor </w:t>
      </w:r>
      <w:bookmarkStart w:id="1" w:name="_Hlk192061504"/>
      <w:r w:rsidRPr="003D7CD3" w:rsidR="00C76346">
        <w:rPr>
          <w:lang w:val="id-ID"/>
        </w:rPr>
        <w:t>(</w:t>
      </w:r>
      <w:r w:rsidRPr="003D7CD3" w:rsidR="00A458D2">
        <w:rPr>
          <w:i/>
          <w:iCs/>
          <w:lang w:val="id-ID"/>
        </w:rPr>
        <w:t>E</w:t>
      </w:r>
      <w:r w:rsidRPr="003D7CD3" w:rsidR="00A458D2">
        <w:rPr>
          <w:i/>
          <w:iCs/>
          <w:vertAlign w:val="subscript"/>
          <w:lang w:val="id-ID"/>
        </w:rPr>
        <w:t>oli bekas</w:t>
      </w:r>
      <w:r w:rsidRPr="003D7CD3" w:rsidR="00C76346">
        <w:rPr>
          <w:lang w:val="id-ID"/>
        </w:rPr>
        <w:t xml:space="preserve"> </w:t>
      </w:r>
      <w:r w:rsidRPr="003D7CD3" w:rsidR="00A458D2">
        <w:rPr>
          <w:lang w:val="id-ID"/>
        </w:rPr>
        <w:t xml:space="preserve">= </w:t>
      </w:r>
      <w:r w:rsidRPr="003D7CD3" w:rsidR="006D4C92">
        <w:rPr>
          <w:bCs/>
          <w:iCs/>
        </w:rPr>
        <w:t>43.668,83 k</w:t>
      </w:r>
      <w:r w:rsidRPr="003D7CD3" w:rsidR="0082685D">
        <w:rPr>
          <w:bCs/>
          <w:iCs/>
        </w:rPr>
        <w:t>J/kg</w:t>
      </w:r>
      <w:r w:rsidRPr="003D7CD3" w:rsidR="00C76346">
        <w:rPr>
          <w:lang w:val="id-ID"/>
        </w:rPr>
        <w:t>)</w:t>
      </w:r>
      <w:r w:rsidRPr="003D7CD3" w:rsidR="003E05E2">
        <w:rPr>
          <w:lang w:val="id-ID"/>
        </w:rPr>
        <w:t xml:space="preserve"> </w:t>
      </w:r>
      <w:r w:rsidRPr="003D7CD3" w:rsidR="009464A9">
        <w:rPr>
          <w:lang w:val="id-ID"/>
        </w:rPr>
        <w:fldChar w:fldCharType="begin" w:fldLock="1"/>
      </w:r>
      <w:r w:rsidR="00A1528E">
        <w:rPr>
          <w:lang w:val="id-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3D7CD3" w:rsidR="009464A9">
        <w:rPr>
          <w:lang w:val="id-ID"/>
        </w:rPr>
        <w:fldChar w:fldCharType="separate"/>
      </w:r>
      <w:r w:rsidRPr="00A1528E" w:rsidR="00A1528E">
        <w:rPr>
          <w:noProof/>
          <w:lang w:val="id-ID"/>
        </w:rPr>
        <w:t>[17]</w:t>
      </w:r>
      <w:r w:rsidRPr="003D7CD3" w:rsidR="009464A9">
        <w:rPr>
          <w:lang w:val="id-ID"/>
        </w:rPr>
        <w:fldChar w:fldCharType="end"/>
      </w:r>
      <w:r w:rsidRPr="003D7CD3" w:rsidR="00C76346">
        <w:rPr>
          <w:lang w:val="id-ID"/>
        </w:rPr>
        <w:t>.</w:t>
      </w:r>
      <w:r w:rsidRPr="003D7CD3">
        <w:rPr>
          <w:lang w:val="id-ID"/>
        </w:rPr>
        <w:t xml:space="preserve"> </w:t>
      </w:r>
      <w:bookmarkEnd w:id="1"/>
      <w:r w:rsidRPr="003D7CD3">
        <w:rPr>
          <w:lang w:val="id-ID"/>
        </w:rPr>
        <w:t>Oli bekas mengandung hidrokarbon kompleks dan polutan berbahaya, dengan titik nyala 150–200°C</w:t>
      </w:r>
      <w:r w:rsidRPr="003D7CD3" w:rsidR="009464A9">
        <w:rPr>
          <w:lang w:val="id-ID"/>
        </w:rPr>
        <w:t xml:space="preserve"> </w:t>
      </w:r>
      <w:r w:rsidRPr="003D7CD3" w:rsidR="009464A9">
        <w:rPr>
          <w:lang w:val="id-ID"/>
        </w:rPr>
        <w:fldChar w:fldCharType="begin" w:fldLock="1"/>
      </w:r>
      <w:r w:rsidR="00A1528E">
        <w:rPr>
          <w:lang w:val="id-ID"/>
        </w:rPr>
        <w:instrText>ADDIN CSL_CITATION {"citationItems":[{"id":"ITEM-1","itemData":{"DOI":"10.1088/1755-1315/105/1/012047","ISSN":"17551315","abstract":"Vegetable cooking oils (VCOs) and used vegetable cooking oils (UCOs) can be considered as alternative fuels which will provide the household with low price fuel and may solve the problem of getting rid of waste VCOs. Their utilization as cooking fuel can bring numerous benefits not only for urban but also for rural communities in Indonesia. The paper focuses on characterizing VCOs and UCOs as fuels for the household cooking application using a modified pressurized cooking stove. Physical properties such as auto-ignition point, auto-ignition time, flash point, density and viscosity of VCOs play the vital role in the combustion. Some properties of these oils were measured and characterized according to ASTM standards. The oil was used directly as a fuel using in a design modified pressurized cooking stove. Adjusting the temperature of vegetable cooking oils used as fuel, it is possible to improve their combustion performance, thus reducing ignition time and incomplete combustion. The main target of the research is to determine the quality and performances of these oils combustion. The auto-ignition point for the several oils was determined to be as follows: UCO: 460 °C, crude VCO: 406 °C, fresh VCO: 405 °C and the peanut cooking oil did not auto-ignite. Crude VCO gave the shorter auto-ignition time than other oils within 30 s. The efficiency of the pressurized stove using UCO, crude VCO and fresh VCO as fuel were observed 23.65%, 25.99%, and 31.57%, respectively. The highest flame temperature of 942°C in these experiments was achieved by burning fresh VCO as fuel in this modified pressurized cooking stove. UCOs tended to produce luminous flames compared other oils.","author":[{"dropping-particle":"","family":"Suhartono","given":"","non-dropping-particle":"","parse-names":false,"suffix":""},{"dropping-particle":"","family":"Suharto","given":"","non-dropping-particle":"","parse-names":false,"suffix":""},{"dropping-particle":"","family":"Ahyati","given":"Andisa Eka","non-dropping-particle":"","parse-names":false,"suffix":""}],"container-title":"IOP Conference Series: Earth and Environmental Science","id":"ITEM-1","issue":"1","issued":{"date-parts":[["2018"]]},"title":"The properties of vegetable cooking oil as a fuel and its utilization in a modified pressurized cooking stove","type":"article-journal","volume":"105"},"uris":["http://www.mendeley.com/documents/?uuid=3247af6f-e254-4716-b72c-c0b7b93cb112"]}],"mendeley":{"formattedCitation":"[19]","plainTextFormattedCitation":"[19]","previouslyFormattedCitation":"(Suhartono et al., 2018)"},"properties":{"noteIndex":0},"schema":"https://github.com/citation-style-language/schema/raw/master/csl-citation.json"}</w:instrText>
      </w:r>
      <w:r w:rsidRPr="003D7CD3" w:rsidR="009464A9">
        <w:rPr>
          <w:lang w:val="id-ID"/>
        </w:rPr>
        <w:fldChar w:fldCharType="separate"/>
      </w:r>
      <w:r w:rsidRPr="00A1528E" w:rsidR="00A1528E">
        <w:rPr>
          <w:noProof/>
          <w:lang w:val="id-ID"/>
        </w:rPr>
        <w:t>[19]</w:t>
      </w:r>
      <w:r w:rsidRPr="003D7CD3" w:rsidR="009464A9">
        <w:rPr>
          <w:lang w:val="id-ID"/>
        </w:rPr>
        <w:fldChar w:fldCharType="end"/>
      </w:r>
      <w:r w:rsidRPr="003D7CD3" w:rsidR="009464A9">
        <w:rPr>
          <w:lang w:val="id-ID"/>
        </w:rPr>
        <w:t xml:space="preserve">. </w:t>
      </w:r>
      <w:r w:rsidRPr="003D7CD3" w:rsidR="0024454C">
        <w:rPr>
          <w:lang w:val="id-ID"/>
        </w:rPr>
        <w:t xml:space="preserve">Minyak goreng bekas diperoleh dari limbah rumah tangga dan juga disaring dengan metode yang sama </w:t>
      </w:r>
      <w:r w:rsidRPr="003D7CD3" w:rsidR="0024454C">
        <w:rPr>
          <w:lang w:val="id-ID"/>
        </w:rPr>
        <w:fldChar w:fldCharType="begin" w:fldLock="1"/>
      </w:r>
      <w:r w:rsidR="00A1528E">
        <w:rPr>
          <w:lang w:val="id-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3D7CD3" w:rsidR="0024454C">
        <w:rPr>
          <w:lang w:val="id-ID"/>
        </w:rPr>
        <w:fldChar w:fldCharType="separate"/>
      </w:r>
      <w:r w:rsidRPr="00A1528E" w:rsidR="00A1528E">
        <w:rPr>
          <w:noProof/>
          <w:lang w:val="id-ID"/>
        </w:rPr>
        <w:t>[17]</w:t>
      </w:r>
      <w:r w:rsidRPr="003D7CD3" w:rsidR="0024454C">
        <w:rPr>
          <w:lang w:val="id-ID"/>
        </w:rPr>
        <w:fldChar w:fldCharType="end"/>
      </w:r>
      <w:r w:rsidRPr="003D7CD3" w:rsidR="0024454C">
        <w:rPr>
          <w:lang w:val="id-ID"/>
        </w:rPr>
        <w:t xml:space="preserve">. </w:t>
      </w:r>
      <w:r w:rsidRPr="003D7CD3" w:rsidR="009464A9">
        <w:rPr>
          <w:lang w:val="id-ID"/>
        </w:rPr>
        <w:t xml:space="preserve">Nilai kalor minyak goreng bekas </w:t>
      </w:r>
      <w:bookmarkStart w:id="2" w:name="_Hlk192061753"/>
      <w:r w:rsidRPr="003D7CD3" w:rsidR="00C76346">
        <w:rPr>
          <w:lang w:val="id-ID"/>
        </w:rPr>
        <w:t>(</w:t>
      </w:r>
      <w:r w:rsidRPr="003D7CD3" w:rsidR="00C76346">
        <w:rPr>
          <w:i/>
          <w:iCs/>
          <w:lang w:val="id-ID"/>
        </w:rPr>
        <w:t>E</w:t>
      </w:r>
      <w:r w:rsidRPr="003D7CD3" w:rsidR="00C76346">
        <w:rPr>
          <w:i/>
          <w:iCs/>
          <w:vertAlign w:val="subscript"/>
          <w:lang w:val="id-ID"/>
        </w:rPr>
        <w:t>miyak bekas</w:t>
      </w:r>
      <w:r w:rsidRPr="003D7CD3" w:rsidR="00C76346">
        <w:rPr>
          <w:lang w:val="id-ID"/>
        </w:rPr>
        <w:t xml:space="preserve"> = </w:t>
      </w:r>
      <w:r w:rsidRPr="003D7CD3" w:rsidR="0082685D">
        <w:rPr>
          <w:lang w:val="id-ID"/>
        </w:rPr>
        <w:t>38.481,46</w:t>
      </w:r>
      <w:r w:rsidRPr="003D7CD3" w:rsidR="00C76346">
        <w:rPr>
          <w:lang w:val="id-ID"/>
        </w:rPr>
        <w:t xml:space="preserve"> k</w:t>
      </w:r>
      <w:r w:rsidRPr="003D7CD3" w:rsidR="0082685D">
        <w:rPr>
          <w:lang w:val="id-ID"/>
        </w:rPr>
        <w:t>J</w:t>
      </w:r>
      <w:r w:rsidRPr="003D7CD3" w:rsidR="00C76346">
        <w:rPr>
          <w:lang w:val="id-ID"/>
        </w:rPr>
        <w:t>/kg)</w:t>
      </w:r>
      <w:r w:rsidRPr="003D7CD3" w:rsidR="009464A9">
        <w:rPr>
          <w:lang w:val="id-ID"/>
        </w:rPr>
        <w:t xml:space="preserve"> </w:t>
      </w:r>
      <w:r w:rsidRPr="003D7CD3" w:rsidR="009464A9">
        <w:rPr>
          <w:lang w:val="id-ID"/>
        </w:rPr>
        <w:fldChar w:fldCharType="begin" w:fldLock="1"/>
      </w:r>
      <w:r w:rsidR="00A1528E">
        <w:rPr>
          <w:lang w:val="id-ID"/>
        </w:rPr>
        <w:instrText>ADDIN CSL_CITATION {"citationItems":[{"id":"ITEM-1","itemData":{"DOI":"10.1088/1755-1315/105/1/012047","ISSN":"17551315","abstract":"Vegetable cooking oils (VCOs) and used vegetable cooking oils (UCOs) can be considered as alternative fuels which will provide the household with low price fuel and may solve the problem of getting rid of waste VCOs. Their utilization as cooking fuel can bring numerous benefits not only for urban but also for rural communities in Indonesia. The paper focuses on characterizing VCOs and UCOs as fuels for the household cooking application using a modified pressurized cooking stove. Physical properties such as auto-ignition point, auto-ignition time, flash point, density and viscosity of VCOs play the vital role in the combustion. Some properties of these oils were measured and characterized according to ASTM standards. The oil was used directly as a fuel using in a design modified pressurized cooking stove. Adjusting the temperature of vegetable cooking oils used as fuel, it is possible to improve their combustion performance, thus reducing ignition time and incomplete combustion. The main target of the research is to determine the quality and performances of these oils combustion. The auto-ignition point for the several oils was determined to be as follows: UCO: 460 °C, crude VCO: 406 °C, fresh VCO: 405 °C and the peanut cooking oil did not auto-ignite. Crude VCO gave the shorter auto-ignition time than other oils within 30 s. The efficiency of the pressurized stove using UCO, crude VCO and fresh VCO as fuel were observed 23.65%, 25.99%, and 31.57%, respectively. The highest flame temperature of 942°C in these experiments was achieved by burning fresh VCO as fuel in this modified pressurized cooking stove. UCOs tended to produce luminous flames compared other oils.","author":[{"dropping-particle":"","family":"Suhartono","given":"","non-dropping-particle":"","parse-names":false,"suffix":""},{"dropping-particle":"","family":"Suharto","given":"","non-dropping-particle":"","parse-names":false,"suffix":""},{"dropping-particle":"","family":"Ahyati","given":"Andisa Eka","non-dropping-particle":"","parse-names":false,"suffix":""}],"container-title":"IOP Conference Series: Earth and Environmental Science","id":"ITEM-1","issue":"1","issued":{"date-parts":[["2018"]]},"title":"The properties of vegetable cooking oil as a fuel and its utilization in a modified pressurized cooking stove","type":"article-journal","volume":"105"},"uris":["http://www.mendeley.com/documents/?uuid=3247af6f-e254-4716-b72c-c0b7b93cb112"]}],"mendeley":{"formattedCitation":"[19]","plainTextFormattedCitation":"[19]","previouslyFormattedCitation":"(Suhartono et al., 2018)"},"properties":{"noteIndex":0},"schema":"https://github.com/citation-style-language/schema/raw/master/csl-citation.json"}</w:instrText>
      </w:r>
      <w:r w:rsidRPr="003D7CD3" w:rsidR="009464A9">
        <w:rPr>
          <w:lang w:val="id-ID"/>
        </w:rPr>
        <w:fldChar w:fldCharType="separate"/>
      </w:r>
      <w:r w:rsidRPr="00A1528E" w:rsidR="00A1528E">
        <w:rPr>
          <w:noProof/>
          <w:lang w:val="id-ID"/>
        </w:rPr>
        <w:t>[19]</w:t>
      </w:r>
      <w:r w:rsidRPr="003D7CD3" w:rsidR="009464A9">
        <w:rPr>
          <w:lang w:val="id-ID"/>
        </w:rPr>
        <w:fldChar w:fldCharType="end"/>
      </w:r>
      <w:r w:rsidRPr="003D7CD3" w:rsidR="00C76346">
        <w:rPr>
          <w:lang w:val="id-ID"/>
        </w:rPr>
        <w:t>.</w:t>
      </w:r>
      <w:r w:rsidRPr="003D7CD3">
        <w:rPr>
          <w:lang w:val="id-ID"/>
        </w:rPr>
        <w:t xml:space="preserve"> </w:t>
      </w:r>
      <w:bookmarkEnd w:id="2"/>
      <w:r w:rsidRPr="003D7CD3" w:rsidR="00861090">
        <w:rPr>
          <w:lang w:val="id-ID"/>
        </w:rPr>
        <w:t>Minyak goreng bekas</w:t>
      </w:r>
      <w:r w:rsidRPr="003D7CD3">
        <w:rPr>
          <w:lang w:val="id-ID"/>
        </w:rPr>
        <w:t xml:space="preserve"> terdiri dari </w:t>
      </w:r>
      <w:r w:rsidRPr="003D7CD3">
        <w:rPr>
          <w:i/>
          <w:iCs/>
          <w:lang w:val="id-ID"/>
        </w:rPr>
        <w:t>trigliserida</w:t>
      </w:r>
      <w:r w:rsidRPr="003D7CD3">
        <w:rPr>
          <w:lang w:val="id-ID"/>
        </w:rPr>
        <w:t xml:space="preserve"> dan asam lemak bebas, dengan titik nyala serupa serta potensi emisi PAHs selama pembakaran</w:t>
      </w:r>
      <w:r w:rsidRPr="003D7CD3" w:rsidR="0024454C">
        <w:rPr>
          <w:lang w:val="id-ID"/>
        </w:rPr>
        <w:t xml:space="preserve"> </w:t>
      </w:r>
      <w:r w:rsidRPr="003D7CD3" w:rsidR="0024454C">
        <w:rPr>
          <w:lang w:val="id-ID"/>
        </w:rPr>
        <w:fldChar w:fldCharType="begin" w:fldLock="1"/>
      </w:r>
      <w:r w:rsidR="00A1528E">
        <w:rPr>
          <w:lang w:val="id-ID"/>
        </w:rPr>
        <w:instrText>ADDIN CSL_CITATION {"citationItems":[{"id":"ITEM-1","itemData":{"DOI":"10.1088/1755-1315/105/1/012047","ISSN":"17551315","abstract":"Vegetable cooking oils (VCOs) and used vegetable cooking oils (UCOs) can be considered as alternative fuels which will provide the household with low price fuel and may solve the problem of getting rid of waste VCOs. Their utilization as cooking fuel can bring numerous benefits not only for urban but also for rural communities in Indonesia. The paper focuses on characterizing VCOs and UCOs as fuels for the household cooking application using a modified pressurized cooking stove. Physical properties such as auto-ignition point, auto-ignition time, flash point, density and viscosity of VCOs play the vital role in the combustion. Some properties of these oils were measured and characterized according to ASTM standards. The oil was used directly as a fuel using in a design modified pressurized cooking stove. Adjusting the temperature of vegetable cooking oils used as fuel, it is possible to improve their combustion performance, thus reducing ignition time and incomplete combustion. The main target of the research is to determine the quality and performances of these oils combustion. The auto-ignition point for the several oils was determined to be as follows: UCO: 460 °C, crude VCO: 406 °C, fresh VCO: 405 °C and the peanut cooking oil did not auto-ignite. Crude VCO gave the shorter auto-ignition time than other oils within 30 s. The efficiency of the pressurized stove using UCO, crude VCO and fresh VCO as fuel were observed 23.65%, 25.99%, and 31.57%, respectively. The highest flame temperature of 942°C in these experiments was achieved by burning fresh VCO as fuel in this modified pressurized cooking stove. UCOs tended to produce luminous flames compared other oils.","author":[{"dropping-particle":"","family":"Suhartono","given":"","non-dropping-particle":"","parse-names":false,"suffix":""},{"dropping-particle":"","family":"Suharto","given":"","non-dropping-particle":"","parse-names":false,"suffix":""},{"dropping-particle":"","family":"Ahyati","given":"Andisa Eka","non-dropping-particle":"","parse-names":false,"suffix":""}],"container-title":"IOP Conference Series: Earth and Environmental Science","id":"ITEM-1","issue":"1","issued":{"date-parts":[["2018"]]},"title":"The properties of vegetable cooking oil as a fuel and its utilization in a modified pressurized cooking stove","type":"article-journal","volume":"105"},"uris":["http://www.mendeley.com/documents/?uuid=5fb27742-9bbd-41a5-9d06-f9941f4a247b"]}],"mendeley":{"formattedCitation":"[19]","plainTextFormattedCitation":"[19]","previouslyFormattedCitation":"(Suhartono et al., 2018)"},"properties":{"noteIndex":0},"schema":"https://github.com/citation-style-language/schema/raw/master/csl-citation.json"}</w:instrText>
      </w:r>
      <w:r w:rsidRPr="003D7CD3" w:rsidR="0024454C">
        <w:rPr>
          <w:lang w:val="id-ID"/>
        </w:rPr>
        <w:fldChar w:fldCharType="separate"/>
      </w:r>
      <w:r w:rsidRPr="00A1528E" w:rsidR="00A1528E">
        <w:rPr>
          <w:noProof/>
          <w:lang w:val="id-ID"/>
        </w:rPr>
        <w:t>[19]</w:t>
      </w:r>
      <w:r w:rsidRPr="003D7CD3" w:rsidR="0024454C">
        <w:rPr>
          <w:lang w:val="id-ID"/>
        </w:rPr>
        <w:fldChar w:fldCharType="end"/>
      </w:r>
      <w:r w:rsidRPr="003D7CD3">
        <w:rPr>
          <w:lang w:val="id-ID"/>
        </w:rPr>
        <w:t xml:space="preserve">. Oli baru </w:t>
      </w:r>
      <w:r w:rsidRPr="003D7CD3" w:rsidR="00C76346">
        <w:rPr>
          <w:lang w:val="id-ID"/>
        </w:rPr>
        <w:t xml:space="preserve">yang digunakan adalah Mesran Super dengan SAE 20-50 W, </w:t>
      </w:r>
      <w:r w:rsidRPr="003D7CD3">
        <w:rPr>
          <w:lang w:val="id-ID"/>
        </w:rPr>
        <w:t xml:space="preserve">memiliki titik nyala lebih tinggi </w:t>
      </w:r>
      <w:r w:rsidRPr="003D7CD3" w:rsidR="00C76346">
        <w:rPr>
          <w:lang w:val="id-ID"/>
        </w:rPr>
        <w:t xml:space="preserve">dari </w:t>
      </w:r>
      <w:r w:rsidRPr="003D7CD3">
        <w:rPr>
          <w:lang w:val="id-ID"/>
        </w:rPr>
        <w:t>200°C, menghasilkan emisi CO, HC, dan partikel yang lebih rendah dibandingkan oli bekas.</w:t>
      </w:r>
      <w:r w:rsidRPr="003D7CD3" w:rsidR="00F84A5C">
        <w:rPr>
          <w:lang w:val="id-ID"/>
        </w:rPr>
        <w:t xml:space="preserve"> </w:t>
      </w:r>
      <w:r w:rsidRPr="003D7CD3" w:rsidR="00C76346">
        <w:rPr>
          <w:lang w:val="id-ID"/>
        </w:rPr>
        <w:t>Nilai kalor oli baru (</w:t>
      </w:r>
      <w:r w:rsidRPr="003D7CD3" w:rsidR="00C76346">
        <w:rPr>
          <w:i/>
          <w:iCs/>
          <w:lang w:val="id-ID"/>
        </w:rPr>
        <w:t>E</w:t>
      </w:r>
      <w:r w:rsidRPr="003D7CD3" w:rsidR="00C76346">
        <w:rPr>
          <w:i/>
          <w:iCs/>
          <w:vertAlign w:val="subscript"/>
          <w:lang w:val="id-ID"/>
        </w:rPr>
        <w:t>oli baru</w:t>
      </w:r>
      <w:r w:rsidRPr="003D7CD3" w:rsidR="00C76346">
        <w:rPr>
          <w:lang w:val="id-ID"/>
        </w:rPr>
        <w:t xml:space="preserve"> = </w:t>
      </w:r>
      <w:r w:rsidRPr="003D7CD3" w:rsidR="006D4C92">
        <w:rPr>
          <w:lang w:val="id-ID"/>
        </w:rPr>
        <w:t xml:space="preserve">44.705,67 </w:t>
      </w:r>
      <w:r w:rsidRPr="003D7CD3" w:rsidR="00C76346">
        <w:rPr>
          <w:lang w:val="id-ID"/>
        </w:rPr>
        <w:t>kcal/kg)</w:t>
      </w:r>
      <w:r w:rsidRPr="003D7CD3" w:rsidR="00196C69">
        <w:rPr>
          <w:lang w:val="id-ID"/>
        </w:rPr>
        <w:t xml:space="preserve"> </w:t>
      </w:r>
      <w:r w:rsidRPr="003D7CD3" w:rsidR="00196C69">
        <w:rPr>
          <w:lang w:val="id-ID"/>
        </w:rPr>
        <w:fldChar w:fldCharType="begin" w:fldLock="1"/>
      </w:r>
      <w:r w:rsidR="00A1528E">
        <w:rPr>
          <w:lang w:val="id-ID"/>
        </w:rPr>
        <w:instrText>ADDIN CSL_CITATION {"citationItems":[{"id":"ITEM-1","itemData":{"DOI":"10.1039/d3ra08748d","ISSN":"20462069","abstract":"Excessive carbon-dioxide emissions drive global climate change and environmental challenges. Integrating renewable biomass fuels with coal in power units is crucial for achieving low-carbon emission reductions. Coal blending with bio-heavy oil enhances the combustion calorific value of the fuel, improves combustion characteristics, and decreases pollutant emissions. This study found that bio-heavy oil with low sulfur (0.073%), low nitrogen (0.18%), low ash, and high oxygen (11.005%) content exhibits excellent fuel performance, which can be attributed to the abundant oxygen-containing functional groups (such as C 00000000 00000000 00000000 00000000 11111111 00000000 11111111 00000000 00000000 00000000 O) in the alcohols, aldehydes, and ketones present in bio-heavy oil. Additionally, the residual moisture in coal-blended bio-heavy oil reduces the fuel's calorific value. The calorific value increases with a higher proportion of blended bio-heavy oil (28.1, 28.9, 32.1, 34.7, 40.6 MJ kg−1). Experiments on combustion flame shooting reveal that the combustion time of bio-heavy oils is significantly shorter than that of coal. As the proportion of blended bio-heavy oil increases, the flame height increases. Coal blending with bio-heavy oil involves three stages: water evaporation, volatile-matter decomposition, fixed-carbon combustion and mineral decomposition. This advances the combustion process and improves coal's ignition performance. Furthermore, the amount of gaseous pollutants (sulfur dioxide and nitrogen dioxide) in coal mixed with bio-heavy oil is relatively low, which is in alignment with the green environmental protection guidelines. The blending of coal with biomass fuel holds significant practical and strategic importance for developing high-efficiency, low-carbon, coal power units.","author":[{"dropping-particle":"","family":"Bai","given":"Yuan","non-dropping-particle":"","parse-names":false,"suffix":""},{"dropping-particle":"","family":"Sun","given":"Yuqing","non-dropping-particle":"","parse-names":false,"suffix":""},{"dropping-particle":"","family":"Pan","given":"Haojun","non-dropping-particle":"","parse-names":false,"suffix":""},{"dropping-particle":"","family":"Wang","given":"Sheng","non-dropping-particle":"","parse-names":false,"suffix":""},{"dropping-particle":"","family":"Dong","given":"Yuehong","non-dropping-particle":"","parse-names":false,"suffix":""},{"dropping-particle":"","family":"Chen","given":"Bin","non-dropping-particle":"","parse-names":false,"suffix":""},{"dropping-particle":"","family":"Qiu","given":"Jian","non-dropping-particle":"","parse-names":false,"suffix":""},{"dropping-particle":"","family":"Jing","given":"Wenheng","non-dropping-particle":"","parse-names":false,"suffix":""}],"container-title":"RSC Advances","id":"ITEM-1","issue":"7","issued":{"date-parts":[["2024"]]},"page":"4362-4368","publisher":"Royal Society of Chemistry","title":"Combustion properties and pollutant analysis of coal-blended bio-heavy oil fuel","type":"article-journal","volume":"14"},"uris":["http://www.mendeley.com/documents/?uuid=3311c1b7-82ca-4fd9-b85f-1a4e4a9abc51"]}],"mendeley":{"formattedCitation":"[20]","plainTextFormattedCitation":"[20]","previouslyFormattedCitation":"(Bai et al., 2024)"},"properties":{"noteIndex":0},"schema":"https://github.com/citation-style-language/schema/raw/master/csl-citation.json"}</w:instrText>
      </w:r>
      <w:r w:rsidRPr="003D7CD3" w:rsidR="00196C69">
        <w:rPr>
          <w:lang w:val="id-ID"/>
        </w:rPr>
        <w:fldChar w:fldCharType="separate"/>
      </w:r>
      <w:r w:rsidRPr="00A1528E" w:rsidR="00A1528E">
        <w:rPr>
          <w:noProof/>
          <w:lang w:val="id-ID"/>
        </w:rPr>
        <w:t>[20]</w:t>
      </w:r>
      <w:r w:rsidRPr="003D7CD3" w:rsidR="00196C69">
        <w:rPr>
          <w:lang w:val="id-ID"/>
        </w:rPr>
        <w:fldChar w:fldCharType="end"/>
      </w:r>
      <w:r w:rsidRPr="003D7CD3" w:rsidR="00196C69">
        <w:rPr>
          <w:lang w:val="id-ID"/>
        </w:rPr>
        <w:t>-</w:t>
      </w:r>
      <w:r w:rsidRPr="003D7CD3" w:rsidR="00196C69">
        <w:rPr>
          <w:lang w:val="id-ID"/>
        </w:rPr>
        <w:fldChar w:fldCharType="begin" w:fldLock="1"/>
      </w:r>
      <w:r w:rsidR="00A1528E">
        <w:rPr>
          <w:lang w:val="id-ID"/>
        </w:rPr>
        <w:instrText>ADDIN CSL_CITATION {"citationItems":[{"id":"ITEM-1","itemData":{"DOI":"10.24271/PSR.2023.376018.1191","ISSN":"27065952","abstract":"The research focuses on the relationship between automotive mileage and its effect on engine oil deterioration. The effects of the new (2020) and old (2012) engines on the most important parameters, kinematic viscosity, flash point, and fire point were investigated. Measurements were performed on four-engine oil samples. Profi-car Endurance SAE 10W-30 semi-synthetic was used for all the engines. The maximum trip length for the oil samples was 8,000 Km. Kinematic viscosity was measured by using a KV1000 Bath (according to the ASTM D445). In addition, the flash point and fire point of the samples were determined by using the Open Cleveland method. This work investigates the difference between old and new engines in actual use on the roads in the rate of decrease in engine oil properties. The cumulative results obtained help drivers protect their car engines by changing engine oil when the engine’s mileage is above 100,000 Km. The comparison of the average results shows that the rate of deterioration of used oil in old engines is higher than in the new engines. It has been shown that the rate of difference in oil viscosity deterioration between old and new engines at cold temperatures, 40°C, and 100°C were 9.3%, 10%, and 4.78% respectively. Also, the different rate for the oil flash points and fire points was 5.56% and 6.75%.","author":[{"dropping-particle":"","family":"Hameed","given":"Dana Kareem","non-dropping-particle":"","parse-names":false,"suffix":""}],"container-title":"Passer Journal of Basic and Applied Sciences","id":"ITEM-1","issue":"1","issued":{"date-parts":[["2023"]]},"page":"59-64","title":"Effects of Vehicle Mileage Rate on Engine Oil Properties","type":"article-journal","volume":"5"},"uris":["http://www.mendeley.com/documents/?uuid=fe26dd01-5b8d-490b-b561-f2838977f8cf"]}],"mendeley":{"formattedCitation":"[21]","plainTextFormattedCitation":"[21]","previouslyFormattedCitation":"(Hameed, 2023)"},"properties":{"noteIndex":0},"schema":"https://github.com/citation-style-language/schema/raw/master/csl-citation.json"}</w:instrText>
      </w:r>
      <w:r w:rsidRPr="003D7CD3" w:rsidR="00196C69">
        <w:rPr>
          <w:lang w:val="id-ID"/>
        </w:rPr>
        <w:fldChar w:fldCharType="separate"/>
      </w:r>
      <w:r w:rsidRPr="00A1528E" w:rsidR="00A1528E">
        <w:rPr>
          <w:noProof/>
          <w:lang w:val="id-ID"/>
        </w:rPr>
        <w:t>[21]</w:t>
      </w:r>
      <w:r w:rsidRPr="003D7CD3" w:rsidR="00196C69">
        <w:rPr>
          <w:lang w:val="id-ID"/>
        </w:rPr>
        <w:fldChar w:fldCharType="end"/>
      </w:r>
      <w:r w:rsidRPr="003D7CD3" w:rsidR="00C76346">
        <w:rPr>
          <w:lang w:val="id-ID"/>
        </w:rPr>
        <w:t>.</w:t>
      </w:r>
      <w:r w:rsidRPr="003D7CD3" w:rsidR="005C6220">
        <w:rPr>
          <w:lang w:val="id-ID"/>
        </w:rPr>
        <w:t xml:space="preserve"> Foto ketiga jenis bahan bakar yang digunakan sebagaimana ditunjukkan pada gambar 2.</w:t>
      </w:r>
    </w:p>
    <w:p w:rsidR="0007113B" w:rsidP="00CD266F" w14:paraId="6B5B97B3" w14:textId="77777777">
      <w:pPr>
        <w:pStyle w:val="BodyText"/>
        <w:spacing w:before="118" w:line="275" w:lineRule="exact"/>
        <w:ind w:left="142" w:firstLine="709"/>
        <w:rPr>
          <w:lang w:val="id-ID"/>
        </w:rPr>
      </w:pPr>
    </w:p>
    <w:p w:rsidR="0007113B" w:rsidP="00CD266F" w14:paraId="715880CD" w14:textId="77777777">
      <w:pPr>
        <w:pStyle w:val="BodyText"/>
        <w:spacing w:before="118" w:line="275" w:lineRule="exact"/>
        <w:ind w:left="142" w:firstLine="709"/>
        <w:rPr>
          <w:lang w:val="id-ID"/>
        </w:rPr>
      </w:pPr>
    </w:p>
    <w:p w:rsidR="003B5BAC" w:rsidRPr="003D7CD3" w:rsidP="00CD266F" w14:paraId="4851D1FF" w14:textId="77777777">
      <w:pPr>
        <w:pStyle w:val="BodyText"/>
        <w:spacing w:before="118" w:line="275" w:lineRule="exact"/>
        <w:ind w:left="142" w:firstLine="709"/>
        <w:rPr>
          <w:lang w:val="id-ID"/>
        </w:rPr>
      </w:pPr>
    </w:p>
    <w:p w:rsidR="005C6220" w:rsidP="00E27E38" w14:paraId="7DBA63F2" w14:textId="77777777">
      <w:pPr>
        <w:pStyle w:val="BodyText"/>
        <w:spacing w:before="118" w:line="275" w:lineRule="exact"/>
        <w:ind w:left="142" w:firstLine="734"/>
        <w:rPr>
          <w:lang w:val="id-ID"/>
        </w:rPr>
      </w:pPr>
    </w:p>
    <w:p w:rsidR="005C6220" w:rsidP="00E27E38" w14:paraId="7AE8465E" w14:textId="105EB79F">
      <w:pPr>
        <w:pStyle w:val="BodyText"/>
        <w:spacing w:before="118" w:line="275" w:lineRule="exact"/>
        <w:ind w:left="142" w:firstLine="734"/>
        <w:rPr>
          <w:lang w:val="id-ID"/>
        </w:rPr>
      </w:pPr>
      <w:r>
        <w:rPr>
          <w:noProof/>
          <w:lang w:val="id-ID"/>
        </w:rPr>
        <mc:AlternateContent>
          <mc:Choice Requires="wpg">
            <w:drawing>
              <wp:anchor distT="0" distB="0" distL="114300" distR="114300" simplePos="0" relativeHeight="251675648" behindDoc="0" locked="0" layoutInCell="1" allowOverlap="1">
                <wp:simplePos x="0" y="0"/>
                <wp:positionH relativeFrom="column">
                  <wp:posOffset>226695</wp:posOffset>
                </wp:positionH>
                <wp:positionV relativeFrom="paragraph">
                  <wp:posOffset>131445</wp:posOffset>
                </wp:positionV>
                <wp:extent cx="2609850" cy="1747809"/>
                <wp:effectExtent l="0" t="0" r="0" b="5080"/>
                <wp:wrapNone/>
                <wp:docPr id="1999486573" name="Group 66"/>
                <wp:cNvGraphicFramePr/>
                <a:graphic xmlns:a="http://schemas.openxmlformats.org/drawingml/2006/main">
                  <a:graphicData uri="http://schemas.microsoft.com/office/word/2010/wordprocessingGroup">
                    <wpg:wgp xmlns:wpg="http://schemas.microsoft.com/office/word/2010/wordprocessingGroup">
                      <wpg:cNvGrpSpPr/>
                      <wpg:grpSpPr>
                        <a:xfrm>
                          <a:off x="0" y="0"/>
                          <a:ext cx="2609850" cy="1747809"/>
                          <a:chOff x="0" y="0"/>
                          <a:chExt cx="2609850" cy="1747809"/>
                        </a:xfrm>
                      </wpg:grpSpPr>
                      <pic:pic xmlns:pic="http://schemas.openxmlformats.org/drawingml/2006/picture">
                        <pic:nvPicPr>
                          <pic:cNvPr id="1104551121" name="Picture 1"/>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9850" cy="1590675"/>
                          </a:xfrm>
                          <a:prstGeom prst="rect">
                            <a:avLst/>
                          </a:prstGeom>
                        </pic:spPr>
                      </pic:pic>
                      <wps:wsp xmlns:wps="http://schemas.microsoft.com/office/word/2010/wordprocessingShape">
                        <wps:cNvPr id="2023788319" name="Text Box 13"/>
                        <wps:cNvSpPr txBox="1">
                          <a:spLocks noChangeArrowheads="1"/>
                        </wps:cNvSpPr>
                        <wps:spPr bwMode="auto">
                          <a:xfrm>
                            <a:off x="431800" y="1346200"/>
                            <a:ext cx="473465" cy="3889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7113B" w:rsidRPr="00DE00A0" w:rsidP="0007113B" w14:textId="77777777">
                              <w:pPr>
                                <w:jc w:val="center"/>
                                <w:rPr>
                                  <w:rFonts w:cs="Arial"/>
                                </w:rPr>
                              </w:pPr>
                              <w:r w:rsidRPr="00DE00A0">
                                <w:rPr>
                                  <w:rFonts w:cs="Arial"/>
                                </w:rPr>
                                <w:t>(</w:t>
                              </w:r>
                              <w:r>
                                <w:rPr>
                                  <w:rFonts w:cs="Arial"/>
                                </w:rPr>
                                <w:t>a</w:t>
                              </w:r>
                              <w:r w:rsidRPr="00DE00A0">
                                <w:rPr>
                                  <w:rFonts w:cs="Arial"/>
                                </w:rPr>
                                <w:t>)</w:t>
                              </w:r>
                            </w:p>
                          </w:txbxContent>
                        </wps:txbx>
                        <wps:bodyPr rot="0" vert="horz" wrap="square" lIns="91440" tIns="45720" rIns="91440" bIns="45720" anchor="t" anchorCtr="0" upright="1"/>
                      </wps:wsp>
                      <wps:wsp xmlns:wps="http://schemas.microsoft.com/office/word/2010/wordprocessingShape">
                        <wps:cNvPr id="1048477133" name="Text Box 13"/>
                        <wps:cNvSpPr txBox="1">
                          <a:spLocks noChangeArrowheads="1"/>
                        </wps:cNvSpPr>
                        <wps:spPr bwMode="auto">
                          <a:xfrm>
                            <a:off x="1149350" y="1358900"/>
                            <a:ext cx="473465" cy="3889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7113B" w:rsidRPr="00DE00A0" w:rsidP="0007113B" w14:textId="6D6A55B3">
                              <w:pPr>
                                <w:jc w:val="center"/>
                                <w:rPr>
                                  <w:rFonts w:cs="Arial"/>
                                </w:rPr>
                              </w:pPr>
                              <w:r w:rsidRPr="00DE00A0">
                                <w:rPr>
                                  <w:rFonts w:cs="Arial"/>
                                </w:rPr>
                                <w:t>(</w:t>
                              </w:r>
                              <w:r>
                                <w:rPr>
                                  <w:rFonts w:cs="Arial"/>
                                </w:rPr>
                                <w:t>b</w:t>
                              </w:r>
                              <w:r w:rsidRPr="00DE00A0">
                                <w:rPr>
                                  <w:rFonts w:cs="Arial"/>
                                </w:rPr>
                                <w:t>)</w:t>
                              </w:r>
                            </w:p>
                          </w:txbxContent>
                        </wps:txbx>
                        <wps:bodyPr rot="0" vert="horz" wrap="square" lIns="91440" tIns="45720" rIns="91440" bIns="45720" anchor="t" anchorCtr="0" upright="1"/>
                      </wps:wsp>
                      <wps:wsp xmlns:wps="http://schemas.microsoft.com/office/word/2010/wordprocessingShape">
                        <wps:cNvPr id="74178777" name="Text Box 13"/>
                        <wps:cNvSpPr txBox="1">
                          <a:spLocks noChangeArrowheads="1"/>
                        </wps:cNvSpPr>
                        <wps:spPr bwMode="auto">
                          <a:xfrm>
                            <a:off x="1854200" y="1346200"/>
                            <a:ext cx="473465" cy="3889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7113B" w:rsidRPr="00DE00A0" w:rsidP="0007113B" w14:textId="3078896C">
                              <w:pPr>
                                <w:jc w:val="center"/>
                                <w:rPr>
                                  <w:rFonts w:cs="Arial"/>
                                </w:rPr>
                              </w:pPr>
                              <w:r w:rsidRPr="00DE00A0">
                                <w:rPr>
                                  <w:rFonts w:cs="Arial"/>
                                </w:rPr>
                                <w:t>(</w:t>
                              </w:r>
                              <w:r>
                                <w:rPr>
                                  <w:rFonts w:cs="Arial"/>
                                </w:rPr>
                                <w:t>c</w:t>
                              </w:r>
                              <w:r w:rsidRPr="00DE00A0">
                                <w:rPr>
                                  <w:rFonts w:cs="Arial"/>
                                </w:rPr>
                                <w:t>)</w:t>
                              </w:r>
                            </w:p>
                          </w:txbxContent>
                        </wps:txbx>
                        <wps:bodyPr rot="0" vert="horz" wrap="square" lIns="91440" tIns="45720" rIns="91440" bIns="45720" anchor="t" anchorCtr="0" upright="1"/>
                      </wps:wsp>
                    </wpg:wgp>
                  </a:graphicData>
                </a:graphic>
              </wp:anchor>
            </w:drawing>
          </mc:Choice>
          <mc:Fallback>
            <w:pict>
              <v:group id="Group 66" o:spid="_x0000_s1032" style="width:205.5pt;height:137.6pt;margin-top:10.35pt;margin-left:17.85pt;position:absolute;z-index:251676672" coordsize="26098,17478">
                <v:shape id="Picture 1" o:spid="_x0000_s1033" type="#_x0000_t75" style="width:26098;height:15906;mso-wrap-style:square;position:absolute;visibility:visible">
                  <v:imagedata r:id="rId11" o:title=""/>
                </v:shape>
                <v:shape id="Text Box 13" o:spid="_x0000_s1034" type="#_x0000_t202" style="width:4734;height:3889;left:4318;mso-wrap-style:square;position:absolute;top:13462;v-text-anchor:top;visibility:visible" filled="f" stroked="f">
                  <v:textbox>
                    <w:txbxContent>
                      <w:p w:rsidR="0007113B" w:rsidRPr="00DE00A0" w:rsidP="0007113B" w14:paraId="654F1319" w14:textId="77777777">
                        <w:pPr>
                          <w:jc w:val="center"/>
                          <w:rPr>
                            <w:rFonts w:cs="Arial"/>
                          </w:rPr>
                        </w:pPr>
                        <w:r w:rsidRPr="00DE00A0">
                          <w:rPr>
                            <w:rFonts w:cs="Arial"/>
                          </w:rPr>
                          <w:t>(</w:t>
                        </w:r>
                        <w:r>
                          <w:rPr>
                            <w:rFonts w:cs="Arial"/>
                          </w:rPr>
                          <w:t>a</w:t>
                        </w:r>
                        <w:r w:rsidRPr="00DE00A0">
                          <w:rPr>
                            <w:rFonts w:cs="Arial"/>
                          </w:rPr>
                          <w:t>)</w:t>
                        </w:r>
                      </w:p>
                    </w:txbxContent>
                  </v:textbox>
                </v:shape>
                <v:shape id="Text Box 13" o:spid="_x0000_s1035" type="#_x0000_t202" style="width:4735;height:3889;left:11493;mso-wrap-style:square;position:absolute;top:13589;v-text-anchor:top;visibility:visible" filled="f" stroked="f">
                  <v:textbox>
                    <w:txbxContent>
                      <w:p w:rsidR="0007113B" w:rsidRPr="00DE00A0" w:rsidP="0007113B" w14:paraId="2DBEB4DA" w14:textId="6D6A55B3">
                        <w:pPr>
                          <w:jc w:val="center"/>
                          <w:rPr>
                            <w:rFonts w:cs="Arial"/>
                          </w:rPr>
                        </w:pPr>
                        <w:r w:rsidRPr="00DE00A0">
                          <w:rPr>
                            <w:rFonts w:cs="Arial"/>
                          </w:rPr>
                          <w:t>(</w:t>
                        </w:r>
                        <w:r>
                          <w:rPr>
                            <w:rFonts w:cs="Arial"/>
                          </w:rPr>
                          <w:t>b</w:t>
                        </w:r>
                        <w:r w:rsidRPr="00DE00A0">
                          <w:rPr>
                            <w:rFonts w:cs="Arial"/>
                          </w:rPr>
                          <w:t>)</w:t>
                        </w:r>
                      </w:p>
                    </w:txbxContent>
                  </v:textbox>
                </v:shape>
                <v:shape id="Text Box 13" o:spid="_x0000_s1036" type="#_x0000_t202" style="width:4734;height:3889;left:18542;mso-wrap-style:square;position:absolute;top:13462;v-text-anchor:top;visibility:visible" filled="f" stroked="f">
                  <v:textbox>
                    <w:txbxContent>
                      <w:p w:rsidR="0007113B" w:rsidRPr="00DE00A0" w:rsidP="0007113B" w14:paraId="1E849067" w14:textId="3078896C">
                        <w:pPr>
                          <w:jc w:val="center"/>
                          <w:rPr>
                            <w:rFonts w:cs="Arial"/>
                          </w:rPr>
                        </w:pPr>
                        <w:r w:rsidRPr="00DE00A0">
                          <w:rPr>
                            <w:rFonts w:cs="Arial"/>
                          </w:rPr>
                          <w:t>(</w:t>
                        </w:r>
                        <w:r>
                          <w:rPr>
                            <w:rFonts w:cs="Arial"/>
                          </w:rPr>
                          <w:t>c</w:t>
                        </w:r>
                        <w:r w:rsidRPr="00DE00A0">
                          <w:rPr>
                            <w:rFonts w:cs="Arial"/>
                          </w:rPr>
                          <w:t>)</w:t>
                        </w:r>
                      </w:p>
                    </w:txbxContent>
                  </v:textbox>
                </v:shape>
              </v:group>
            </w:pict>
          </mc:Fallback>
        </mc:AlternateContent>
      </w:r>
      <w:r w:rsidR="0024454C">
        <w:rPr>
          <w:lang w:val="id-ID"/>
        </w:rPr>
        <w:t xml:space="preserve"> </w:t>
      </w:r>
    </w:p>
    <w:p w:rsidR="005C6220" w:rsidP="00E27E38" w14:paraId="2DDDD27B" w14:textId="77777777">
      <w:pPr>
        <w:pStyle w:val="BodyText"/>
        <w:spacing w:before="118" w:line="275" w:lineRule="exact"/>
        <w:ind w:left="142" w:firstLine="734"/>
        <w:rPr>
          <w:lang w:val="id-ID"/>
        </w:rPr>
      </w:pPr>
    </w:p>
    <w:p w:rsidR="005C6220" w:rsidP="00E27E38" w14:paraId="0C73B21C" w14:textId="6CD73AB3">
      <w:pPr>
        <w:pStyle w:val="BodyText"/>
        <w:spacing w:before="118" w:line="275" w:lineRule="exact"/>
        <w:ind w:left="142" w:firstLine="734"/>
        <w:rPr>
          <w:lang w:val="id-ID"/>
        </w:rPr>
      </w:pPr>
    </w:p>
    <w:p w:rsidR="005C6220" w:rsidP="00E27E38" w14:paraId="71AD034B" w14:textId="77777777">
      <w:pPr>
        <w:pStyle w:val="BodyText"/>
        <w:spacing w:before="118" w:line="275" w:lineRule="exact"/>
        <w:ind w:left="142" w:firstLine="734"/>
        <w:rPr>
          <w:lang w:val="id-ID"/>
        </w:rPr>
      </w:pPr>
    </w:p>
    <w:p w:rsidR="003D7CD3" w:rsidP="005C6220" w14:paraId="29848463" w14:textId="14B39876">
      <w:pPr>
        <w:pStyle w:val="BodyText"/>
        <w:spacing w:before="118" w:line="275" w:lineRule="exact"/>
        <w:ind w:left="142"/>
        <w:jc w:val="center"/>
        <w:rPr>
          <w:color w:val="0070C0"/>
        </w:rPr>
      </w:pPr>
    </w:p>
    <w:p w:rsidR="003D7CD3" w:rsidP="005C6220" w14:paraId="7838A416" w14:textId="1C65DDA2">
      <w:pPr>
        <w:pStyle w:val="BodyText"/>
        <w:spacing w:before="118" w:line="275" w:lineRule="exact"/>
        <w:ind w:left="142"/>
        <w:jc w:val="center"/>
        <w:rPr>
          <w:color w:val="0070C0"/>
        </w:rPr>
      </w:pPr>
    </w:p>
    <w:p w:rsidR="003D7CD3" w:rsidP="005C6220" w14:paraId="6B4521CF" w14:textId="40FAD9A9">
      <w:pPr>
        <w:pStyle w:val="BodyText"/>
        <w:spacing w:before="118" w:line="275" w:lineRule="exact"/>
        <w:ind w:left="142"/>
        <w:jc w:val="center"/>
        <w:rPr>
          <w:color w:val="0070C0"/>
        </w:rPr>
      </w:pPr>
    </w:p>
    <w:p w:rsidR="005C6220" w:rsidRPr="003D7CD3" w:rsidP="003B5BAC" w14:paraId="42AFCCA1" w14:textId="555FF1EF">
      <w:pPr>
        <w:pStyle w:val="BodyText"/>
        <w:spacing w:after="240" w:line="275" w:lineRule="exact"/>
        <w:ind w:left="142"/>
        <w:jc w:val="center"/>
        <w:rPr>
          <w:lang w:val="id-ID"/>
        </w:rPr>
      </w:pPr>
      <w:r w:rsidRPr="003D7CD3">
        <w:t xml:space="preserve">Gambar 2. (a) </w:t>
      </w:r>
      <w:r w:rsidR="00B927A2">
        <w:t>Minyak goreng bekas</w:t>
      </w:r>
      <w:r w:rsidRPr="003D7CD3">
        <w:t xml:space="preserve">; (b) </w:t>
      </w:r>
      <w:r w:rsidR="00B927A2">
        <w:t>oli bekas</w:t>
      </w:r>
      <w:r w:rsidRPr="003D7CD3">
        <w:t xml:space="preserve">; dan (c) </w:t>
      </w:r>
      <w:r w:rsidRPr="003D7CD3" w:rsidR="003D7CD3">
        <w:t>o</w:t>
      </w:r>
      <w:r w:rsidRPr="003D7CD3">
        <w:t>li baru</w:t>
      </w:r>
    </w:p>
    <w:p w:rsidR="00E27E38" w:rsidP="00E27E38" w14:paraId="5F917296" w14:textId="78F55988">
      <w:pPr>
        <w:pStyle w:val="BodyText"/>
        <w:spacing w:before="118" w:line="275" w:lineRule="exact"/>
        <w:ind w:left="142" w:firstLine="734"/>
        <w:rPr>
          <w:lang w:val="id-ID"/>
        </w:rPr>
      </w:pPr>
      <w:r w:rsidRPr="003D7CD3">
        <w:rPr>
          <w:lang w:val="id-ID"/>
        </w:rPr>
        <w:t xml:space="preserve">Efisiensi kompor diukur menggunakan metode </w:t>
      </w:r>
      <w:r w:rsidRPr="003D7CD3">
        <w:rPr>
          <w:i/>
          <w:iCs/>
          <w:lang w:val="id-ID"/>
        </w:rPr>
        <w:t>Water Boiling Test</w:t>
      </w:r>
      <w:r w:rsidRPr="003D7CD3">
        <w:rPr>
          <w:lang w:val="id-ID"/>
        </w:rPr>
        <w:t xml:space="preserve"> (WBT), dengan mengukur konsumsi bahan bakar dan produksi uap. Air dalam bejana dipanaskan hingga mendidih dalam 60 menit, dengan pencatatan suhu setiap 5 menit. Setelah itu, massa bahan bakar yang digunakan dan massa uap yang dihasilkan diukur untuk menghitung efisiensi termal menggunakan persamaan</w:t>
      </w:r>
      <w:r w:rsidRPr="003D7CD3" w:rsidR="003D7CD3">
        <w:rPr>
          <w:lang w:val="id-ID"/>
        </w:rPr>
        <w:t xml:space="preserve"> </w:t>
      </w:r>
      <w:r w:rsidRPr="003D7CD3" w:rsidR="003D7CD3">
        <w:rPr>
          <w:lang w:val="id-ID"/>
        </w:rPr>
        <w:fldChar w:fldCharType="begin" w:fldLock="1"/>
      </w:r>
      <w:r w:rsidR="00A1528E">
        <w:rPr>
          <w:lang w:val="id-ID"/>
        </w:rPr>
        <w:instrText>ADDIN CSL_CITATION {"citationItems":[{"id":"ITEM-1","itemData":{"DOI":"10.14716/ijtech.v12i1.3958","ISSN":"20872100","abstract":"The objective in this study was to construct a finned heat radiation reflector using a cut cone-shaped stainless steel plate. In addition, its efficiency was examined by the water boiling test by varying the fin rows and angles. Measurements were performed on reflectors with one, two and three rows of fins, which were compared with conventional stoves with and finless reflectors. Furthermore, fin angles of 5°, 10°, 15°, 20° and 25° were evaluated by the variation in the fin rows, and the most efficient configuration was investigated. Results revealed that finned reflectors increase the efficiency of liquefied petroleum gas stoves. The highest efficiency (60%) was obtained for the reflector with three finned rows and a fin angle of 10°. Compared with those of conventional reflectors and reflectors without fins, 7.87% and 4.47% increase in the efficiency was observed, respectively. Furthermore, the use of finned reflectors enhanced the area of complete combustion.","author":[{"dropping-particle":"","family":"Sudarno","given":"","non-dropping-particle":"","parse-names":false,"suffix":""},{"dropping-particle":"","family":"Soeparman","given":"S.","non-dropping-particle":"","parse-names":false,"suffix":""},{"dropping-particle":"","family":"Wahyudi","given":"S.","non-dropping-particle":"","parse-names":false,"suffix":""},{"dropping-particle":"","family":"Widodo","given":"A.S.","non-dropping-particle":"","parse-names":false,"suffix":""}],"container-title":"International Journal of Technology","id":"ITEM-1","issue":"1","issued":{"date-parts":[["2021"]]},"title":"Construction of a Finned Heat Radiation Reflector for Improved Efficiency of Liquefied Petroleum Gas Stoves","type":"article-journal","volume":"12"},"uris":["http://www.mendeley.com/documents/?uuid=f79dcb8f-46f4-32d6-b5d7-1f29c2784885"]},{"id":"ITEM-2","itemData":{"DOI":"10.5937/jaes0-48185","ISSN":"1451-4117","abstract":"This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Science","id":"ITEM-2","issued":{"date-parts":[["2024"]]},"page":"1-9","title":"the Effect of Fuel Preheating on the Performance of Used Oil Fuel Stoves","type":"article-journal"},"uris":["http://www.mendeley.com/documents/?uuid=66148784-e38c-49fa-a84e-67495335600d"]},{"id":"ITEM-3","itemData":{"id":"ITEM-3","issued":{"date-parts":[["0"]]},"title":"Effect of the ember element in increasing the efficiency of LPG stoves, JAES (Sudarno, dkk, 2021).pdf","type":"article"},"uris":["http://www.mendeley.com/documents/?uuid=51c166b1-51ac-45f2-a65b-bdb3c9dfbe70"]},{"id":"ITEM-4","itemData":{"DOI":"10.1016/j.rineng.2022.100658","ISSN":"25901230","abstract":"The low efficiency of liquefied petroleum gas (LPG) stoves, one of which is caused by the loss of environmental heat. In order to increase efficiency, the heat loss will be captured and reflected back using a finned heat reflector. The purpose of this study was to find the effect of the material and diameter of the finned heat reflector on the efficiency and distribution of flame temperature on the LPG stove. The research was conducted on an LPG stove with a finned heat reflector installed. The conical reflector model is truncated facing upwards and made of fins that are directed at the inner side. Efficiency measurement is done by Water Boiling Test (WBT) while temperature distribution by experiment. The reflector material is varied, namely aluminum, stainless steel, and aluminum foil, while the diameter of the reflector is also varied, namely 145 mm–165 mm with a range of 5 mm. The efficiency value obtained is also compared with conventional stoves. Based on the results of the study, it was found that the finned heat reflector with 155 mm diameter stainless steel material produced the highest efficiency of 60%, an increase of 7.9% compared to conventional stoves. It was also found that the material and diameter produced the largest heat area and the highest temperature. This happens because of the complete combustion process and the optimal function of the reflector in reflecting back the radiation heat losses.","author":[{"dropping-particle":"","family":"Widodo","given":"A.","non-dropping-particle":"","parse-names":false,"suffix":""},{"dropping-particle":"","family":"Sudarno","given":"","non-dropping-particle":"","parse-names":false,"suffix":""},{"dropping-particle":"","family":"Soeparman","given":"S.","non-dropping-particle":"","parse-names":false,"suffix":""},{"dropping-particle":"","family":"Wahyudi","given":"S.","non-dropping-particle":"","parse-names":false,"suffix":""}],"container-title":"Results in Engineering","id":"ITEM-4","issued":{"date-parts":[["2022"]]},"title":"The effect of finned heat reflector materials and diameters on the efficiency and temperature distribution of liquefied petroleum gas stove","type":"article-journal","volume":"16"},"uris":["http://www.mendeley.com/documents/?uuid=19c7dd3a-5649-3413-a201-0af3b76b4fdc"]}],"mendeley":{"formattedCitation":"[15]–[18]","plainTextFormattedCitation":"[15]–[18]","previouslyFormattedCitation":"(&lt;i&gt;Effect of the Ember Element in Increasing the Efficiency of LPG Stoves, JAES (Sudarno, Dkk, 2021).Pdf&lt;/i&gt;, n.d.; Sudarno et al., 2021b, 2024; Widodo et al., 2022)"},"properties":{"noteIndex":0},"schema":"https://github.com/citation-style-language/schema/raw/master/csl-citation.json"}</w:instrText>
      </w:r>
      <w:r w:rsidRPr="003D7CD3" w:rsidR="003D7CD3">
        <w:rPr>
          <w:lang w:val="id-ID"/>
        </w:rPr>
        <w:fldChar w:fldCharType="separate"/>
      </w:r>
      <w:r w:rsidRPr="00A1528E" w:rsidR="00A1528E">
        <w:rPr>
          <w:noProof/>
          <w:lang w:val="id-ID"/>
        </w:rPr>
        <w:t>[15]–[18]</w:t>
      </w:r>
      <w:r w:rsidRPr="003D7CD3" w:rsidR="003D7CD3">
        <w:rPr>
          <w:lang w:val="id-ID"/>
        </w:rPr>
        <w:fldChar w:fldCharType="end"/>
      </w:r>
      <w:r w:rsidRPr="003D7CD3">
        <w:rPr>
          <w:lang w:val="id-ID"/>
        </w:rPr>
        <w:t>.</w:t>
      </w:r>
    </w:p>
    <w:tbl>
      <w:tblPr>
        <w:tblStyle w:val="TableGrid"/>
        <w:tblW w:w="836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1133"/>
      </w:tblGrid>
      <w:tr w14:paraId="5ED8A95A" w14:textId="77777777" w:rsidTr="00861090">
        <w:tblPrEx>
          <w:tblW w:w="8363" w:type="dxa"/>
          <w:tblInd w:w="-34" w:type="dxa"/>
          <w:tblLook w:val="04A0"/>
        </w:tblPrEx>
        <w:trPr>
          <w:trHeight w:val="567"/>
        </w:trPr>
        <w:tc>
          <w:tcPr>
            <w:tcW w:w="7230" w:type="dxa"/>
            <w:vAlign w:val="center"/>
          </w:tcPr>
          <w:p w:rsidR="00861090" w:rsidRPr="00CB37CA" w:rsidP="00861090" w14:paraId="1E5C7FB9" w14:textId="77777777">
            <w:pPr>
              <w:spacing w:before="120" w:after="120" w:line="276" w:lineRule="auto"/>
              <w:ind w:hanging="855"/>
              <w:jc w:val="both"/>
              <w:rPr>
                <w:rFonts w:ascii="Avenir Next LT Pro" w:hAnsi="Avenir Next LT Pro"/>
                <w:sz w:val="22"/>
                <w:szCs w:val="22"/>
                <w:lang w:val="pl-PL"/>
              </w:rPr>
            </w:pPr>
            <m:oMathPara>
              <m:oMathParaPr>
                <m:jc m:val="left"/>
              </m:oMathParaPr>
              <m:oMath>
                <m:sSub>
                  <m:sSubPr>
                    <m:ctrlPr>
                      <w:rPr>
                        <w:rFonts w:ascii="Cambria Math" w:hAnsi="Cambria Math"/>
                        <w:i/>
                        <w:sz w:val="22"/>
                        <w:szCs w:val="22"/>
                        <w:lang w:val="pl-PL"/>
                      </w:rPr>
                    </m:ctrlPr>
                  </m:sSubPr>
                  <m:e>
                    <m:r>
                      <w:rPr>
                        <w:rFonts w:ascii="Cambria Math" w:hAnsi="Cambria Math"/>
                        <w:sz w:val="22"/>
                        <w:szCs w:val="22"/>
                        <w:lang w:val="pl-PL"/>
                      </w:rPr>
                      <m:t>η</m:t>
                    </m:r>
                  </m:e>
                  <m:sub>
                    <m:r>
                      <w:rPr>
                        <w:rFonts w:ascii="Cambria Math" w:hAnsi="Cambria Math"/>
                        <w:sz w:val="22"/>
                        <w:szCs w:val="22"/>
                        <w:lang w:val="pl-PL"/>
                      </w:rPr>
                      <m:t>th</m:t>
                    </m:r>
                  </m:sub>
                </m:sSub>
                <m:r>
                  <w:rPr>
                    <w:rFonts w:ascii="Cambria Math" w:hAnsi="Cambria Math"/>
                    <w:sz w:val="22"/>
                    <w:szCs w:val="22"/>
                    <w:lang w:val="pl-PL"/>
                  </w:rPr>
                  <m:t>=</m:t>
                </m:r>
                <m:f>
                  <m:fPr>
                    <m:ctrlPr>
                      <w:rPr>
                        <w:rFonts w:ascii="Cambria Math" w:hAnsi="Cambria Math"/>
                        <w:i/>
                        <w:sz w:val="22"/>
                        <w:szCs w:val="22"/>
                        <w:lang w:val="pl-PL"/>
                      </w:rPr>
                    </m:ctrlPr>
                  </m:fPr>
                  <m:num>
                    <m:d>
                      <m:dPr>
                        <m:begChr m:val="{"/>
                        <m:endChr m:val=""/>
                        <m:ctrlPr>
                          <w:rPr>
                            <w:rFonts w:ascii="Cambria Math" w:hAnsi="Cambria Math"/>
                            <w:i/>
                            <w:sz w:val="22"/>
                            <w:szCs w:val="22"/>
                            <w:lang w:val="pl-PL"/>
                          </w:rPr>
                        </m:ctrlPr>
                      </m:dPr>
                      <m:e>
                        <m:d>
                          <m:dPr>
                            <m:ctrlPr>
                              <w:rPr>
                                <w:rFonts w:ascii="Cambria Math" w:hAnsi="Cambria Math"/>
                                <w:i/>
                                <w:sz w:val="22"/>
                                <w:szCs w:val="22"/>
                                <w:lang w:val="pl-PL"/>
                              </w:rPr>
                            </m:ctrlPr>
                          </m:dPr>
                          <m:e>
                            <m:sSub>
                              <m:sSubPr>
                                <m:ctrlPr>
                                  <w:rPr>
                                    <w:rFonts w:ascii="Cambria Math" w:hAnsi="Cambria Math"/>
                                    <w:i/>
                                    <w:sz w:val="22"/>
                                    <w:szCs w:val="22"/>
                                    <w:lang w:val="pl-PL"/>
                                  </w:rPr>
                                </m:ctrlPr>
                              </m:sSubPr>
                              <m:e>
                                <m:r>
                                  <w:rPr>
                                    <w:rFonts w:ascii="Cambria Math" w:hAnsi="Cambria Math"/>
                                    <w:sz w:val="22"/>
                                    <w:szCs w:val="22"/>
                                    <w:lang w:val="pl-PL"/>
                                  </w:rPr>
                                  <m:t>m</m:t>
                                </m:r>
                              </m:e>
                              <m:sub>
                                <m:r>
                                  <w:rPr>
                                    <w:rFonts w:ascii="Cambria Math" w:hAnsi="Cambria Math"/>
                                    <w:sz w:val="22"/>
                                    <w:szCs w:val="22"/>
                                    <w:lang w:val="pl-PL"/>
                                  </w:rPr>
                                  <m:t>wi</m:t>
                                </m:r>
                              </m:sub>
                            </m:sSub>
                            <m:r>
                              <w:rPr>
                                <w:rFonts w:ascii="Cambria Math" w:hAnsi="Cambria Math"/>
                                <w:sz w:val="22"/>
                                <w:szCs w:val="22"/>
                                <w:lang w:val="pl-PL"/>
                              </w:rPr>
                              <m:t>-</m:t>
                            </m:r>
                            <m:sSub>
                              <m:sSubPr>
                                <m:ctrlPr>
                                  <w:rPr>
                                    <w:rFonts w:ascii="Cambria Math" w:hAnsi="Cambria Math"/>
                                    <w:i/>
                                    <w:sz w:val="22"/>
                                    <w:szCs w:val="22"/>
                                    <w:lang w:val="pl-PL"/>
                                  </w:rPr>
                                </m:ctrlPr>
                              </m:sSubPr>
                              <m:e>
                                <m:r>
                                  <w:rPr>
                                    <w:rFonts w:ascii="Cambria Math" w:hAnsi="Cambria Math"/>
                                    <w:sz w:val="22"/>
                                    <w:szCs w:val="22"/>
                                    <w:lang w:val="pl-PL"/>
                                  </w:rPr>
                                  <m:t>m</m:t>
                                </m:r>
                              </m:e>
                              <m:sub>
                                <m:r>
                                  <w:rPr>
                                    <w:rFonts w:ascii="Cambria Math" w:hAnsi="Cambria Math"/>
                                    <w:sz w:val="22"/>
                                    <w:szCs w:val="22"/>
                                    <w:lang w:val="pl-PL"/>
                                  </w:rPr>
                                  <m:t>p</m:t>
                                </m:r>
                              </m:sub>
                            </m:sSub>
                          </m:e>
                        </m:d>
                        <m:sSub>
                          <m:sSubPr>
                            <m:ctrlPr>
                              <w:rPr>
                                <w:rFonts w:ascii="Cambria Math" w:hAnsi="Cambria Math"/>
                                <w:i/>
                                <w:sz w:val="22"/>
                                <w:szCs w:val="22"/>
                                <w:lang w:val="pl-PL"/>
                              </w:rPr>
                            </m:ctrlPr>
                          </m:sSubPr>
                          <m:e>
                            <m:r>
                              <w:rPr>
                                <w:rFonts w:ascii="Cambria Math" w:hAnsi="Cambria Math"/>
                                <w:sz w:val="22"/>
                                <w:szCs w:val="22"/>
                                <w:lang w:val="pl-PL"/>
                              </w:rPr>
                              <m:t>C</m:t>
                            </m:r>
                          </m:e>
                          <m:sub>
                            <m:r>
                              <w:rPr>
                                <w:rFonts w:ascii="Cambria Math" w:hAnsi="Cambria Math"/>
                                <w:sz w:val="22"/>
                                <w:szCs w:val="22"/>
                                <w:lang w:val="pl-PL"/>
                              </w:rPr>
                              <m:t>pw</m:t>
                            </m:r>
                          </m:sub>
                        </m:sSub>
                        <m:d>
                          <m:dPr>
                            <m:ctrlPr>
                              <w:rPr>
                                <w:rFonts w:ascii="Cambria Math" w:hAnsi="Cambria Math"/>
                                <w:i/>
                                <w:sz w:val="22"/>
                                <w:szCs w:val="22"/>
                                <w:lang w:val="pl-PL"/>
                              </w:rPr>
                            </m:ctrlPr>
                          </m:dPr>
                          <m:e>
                            <m:sSub>
                              <m:sSubPr>
                                <m:ctrlPr>
                                  <w:rPr>
                                    <w:rFonts w:ascii="Cambria Math" w:hAnsi="Cambria Math"/>
                                    <w:i/>
                                    <w:sz w:val="22"/>
                                    <w:szCs w:val="22"/>
                                    <w:lang w:val="pl-PL"/>
                                  </w:rPr>
                                </m:ctrlPr>
                              </m:sSubPr>
                              <m:e>
                                <m:r>
                                  <w:rPr>
                                    <w:rFonts w:ascii="Cambria Math" w:hAnsi="Cambria Math"/>
                                    <w:sz w:val="22"/>
                                    <w:szCs w:val="22"/>
                                    <w:lang w:val="pl-PL"/>
                                  </w:rPr>
                                  <m:t>T</m:t>
                                </m:r>
                              </m:e>
                              <m:sub>
                                <m:r>
                                  <w:rPr>
                                    <w:rFonts w:ascii="Cambria Math" w:hAnsi="Cambria Math"/>
                                    <w:sz w:val="22"/>
                                    <w:szCs w:val="22"/>
                                    <w:lang w:val="pl-PL"/>
                                  </w:rPr>
                                  <m:t>wf</m:t>
                                </m:r>
                              </m:sub>
                            </m:sSub>
                            <m:r>
                              <w:rPr>
                                <w:rFonts w:ascii="Cambria Math" w:hAnsi="Cambria Math"/>
                                <w:sz w:val="22"/>
                                <w:szCs w:val="22"/>
                                <w:lang w:val="pl-PL"/>
                              </w:rPr>
                              <m:t>-</m:t>
                            </m:r>
                            <m:sSub>
                              <m:sSubPr>
                                <m:ctrlPr>
                                  <w:rPr>
                                    <w:rFonts w:ascii="Cambria Math" w:hAnsi="Cambria Math"/>
                                    <w:i/>
                                    <w:sz w:val="22"/>
                                    <w:szCs w:val="22"/>
                                    <w:lang w:val="pl-PL"/>
                                  </w:rPr>
                                </m:ctrlPr>
                              </m:sSubPr>
                              <m:e>
                                <m:r>
                                  <w:rPr>
                                    <w:rFonts w:ascii="Cambria Math" w:hAnsi="Cambria Math"/>
                                    <w:sz w:val="22"/>
                                    <w:szCs w:val="22"/>
                                    <w:lang w:val="pl-PL"/>
                                  </w:rPr>
                                  <m:t>T</m:t>
                                </m:r>
                              </m:e>
                              <m:sub>
                                <m:r>
                                  <w:rPr>
                                    <w:rFonts w:ascii="Cambria Math" w:hAnsi="Cambria Math"/>
                                    <w:sz w:val="22"/>
                                    <w:szCs w:val="22"/>
                                    <w:lang w:val="pl-PL"/>
                                  </w:rPr>
                                  <m:t>wi</m:t>
                                </m:r>
                              </m:sub>
                            </m:sSub>
                          </m:e>
                        </m:d>
                        <m:r>
                          <w:rPr>
                            <w:rFonts w:ascii="Cambria Math" w:hAnsi="Cambria Math"/>
                            <w:sz w:val="22"/>
                            <w:szCs w:val="22"/>
                            <w:lang w:val="pl-PL"/>
                          </w:rPr>
                          <m:t>+</m:t>
                        </m:r>
                        <m:d>
                          <m:dPr>
                            <m:begChr m:val=""/>
                            <m:endChr m:val="}"/>
                            <m:ctrlPr>
                              <w:rPr>
                                <w:rFonts w:ascii="Cambria Math" w:hAnsi="Cambria Math"/>
                                <w:i/>
                                <w:sz w:val="22"/>
                                <w:szCs w:val="22"/>
                                <w:lang w:val="pl-PL"/>
                              </w:rPr>
                            </m:ctrlPr>
                          </m:dPr>
                          <m:e>
                            <m:sSub>
                              <m:sSubPr>
                                <m:ctrlPr>
                                  <w:rPr>
                                    <w:rFonts w:ascii="Cambria Math" w:hAnsi="Cambria Math"/>
                                    <w:i/>
                                    <w:sz w:val="22"/>
                                    <w:szCs w:val="22"/>
                                    <w:lang w:val="pl-PL"/>
                                  </w:rPr>
                                </m:ctrlPr>
                              </m:sSubPr>
                              <m:e>
                                <m:r>
                                  <w:rPr>
                                    <w:rFonts w:ascii="Cambria Math" w:hAnsi="Cambria Math"/>
                                    <w:sz w:val="22"/>
                                    <w:szCs w:val="22"/>
                                    <w:lang w:val="pl-PL"/>
                                  </w:rPr>
                                  <m:t>m</m:t>
                                </m:r>
                              </m:e>
                              <m:sub>
                                <m:r>
                                  <w:rPr>
                                    <w:rFonts w:ascii="Cambria Math" w:hAnsi="Cambria Math"/>
                                    <w:sz w:val="22"/>
                                    <w:szCs w:val="22"/>
                                    <w:lang w:val="pl-PL"/>
                                  </w:rPr>
                                  <m:t>u</m:t>
                                </m:r>
                              </m:sub>
                            </m:sSub>
                            <m:r>
                              <w:rPr>
                                <w:rFonts w:ascii="Cambria Math" w:hAnsi="Cambria Math"/>
                                <w:sz w:val="22"/>
                                <w:szCs w:val="22"/>
                                <w:lang w:val="pl-PL"/>
                              </w:rPr>
                              <m:t>.</m:t>
                            </m:r>
                            <m:sSub>
                              <m:sSubPr>
                                <m:ctrlPr>
                                  <w:rPr>
                                    <w:rFonts w:ascii="Cambria Math" w:hAnsi="Cambria Math"/>
                                    <w:i/>
                                    <w:sz w:val="22"/>
                                    <w:szCs w:val="22"/>
                                    <w:lang w:val="pl-PL"/>
                                  </w:rPr>
                                </m:ctrlPr>
                              </m:sSubPr>
                              <m:e>
                                <m:r>
                                  <w:rPr>
                                    <w:rFonts w:ascii="Cambria Math" w:hAnsi="Cambria Math"/>
                                    <w:sz w:val="22"/>
                                    <w:szCs w:val="22"/>
                                    <w:lang w:val="pl-PL"/>
                                  </w:rPr>
                                  <m:t>H</m:t>
                                </m:r>
                              </m:e>
                              <m:sub>
                                <m:r>
                                  <w:rPr>
                                    <w:rFonts w:ascii="Cambria Math" w:hAnsi="Cambria Math"/>
                                    <w:sz w:val="22"/>
                                    <w:szCs w:val="22"/>
                                    <w:lang w:val="pl-PL"/>
                                  </w:rPr>
                                  <m:t>u</m:t>
                                </m:r>
                              </m:sub>
                            </m:sSub>
                          </m:e>
                        </m:d>
                      </m:e>
                    </m:d>
                  </m:num>
                  <m:den>
                    <m:sSub>
                      <m:sSubPr>
                        <m:ctrlPr>
                          <w:rPr>
                            <w:rFonts w:ascii="Cambria Math" w:hAnsi="Cambria Math"/>
                            <w:i/>
                            <w:sz w:val="22"/>
                            <w:szCs w:val="22"/>
                            <w:lang w:val="pl-PL"/>
                          </w:rPr>
                        </m:ctrlPr>
                      </m:sSubPr>
                      <m:e>
                        <m:r>
                          <w:rPr>
                            <w:rFonts w:ascii="Cambria Math" w:hAnsi="Cambria Math"/>
                            <w:sz w:val="22"/>
                            <w:szCs w:val="22"/>
                            <w:lang w:val="pl-PL"/>
                          </w:rPr>
                          <m:t>m</m:t>
                        </m:r>
                      </m:e>
                      <m:sub>
                        <m:r>
                          <w:rPr>
                            <w:rFonts w:ascii="Cambria Math" w:hAnsi="Cambria Math"/>
                            <w:sz w:val="22"/>
                            <w:szCs w:val="22"/>
                            <w:lang w:val="pl-PL"/>
                          </w:rPr>
                          <m:t>f</m:t>
                        </m:r>
                      </m:sub>
                    </m:sSub>
                    <m:r>
                      <w:rPr>
                        <w:rFonts w:ascii="Cambria Math" w:hAnsi="Cambria Math"/>
                        <w:sz w:val="22"/>
                        <w:szCs w:val="22"/>
                        <w:lang w:val="pl-PL"/>
                      </w:rPr>
                      <m:t>.</m:t>
                    </m:r>
                    <m:sSub>
                      <m:sSubPr>
                        <m:ctrlPr>
                          <w:rPr>
                            <w:rFonts w:ascii="Cambria Math" w:hAnsi="Cambria Math"/>
                            <w:i/>
                            <w:sz w:val="22"/>
                            <w:szCs w:val="22"/>
                            <w:lang w:val="pl-PL"/>
                          </w:rPr>
                        </m:ctrlPr>
                      </m:sSubPr>
                      <m:e>
                        <m:r>
                          <w:rPr>
                            <w:rFonts w:ascii="Cambria Math" w:hAnsi="Cambria Math"/>
                            <w:sz w:val="22"/>
                            <w:szCs w:val="22"/>
                            <w:lang w:val="pl-PL"/>
                          </w:rPr>
                          <m:t>E</m:t>
                        </m:r>
                      </m:e>
                      <m:sub>
                        <m:r>
                          <w:rPr>
                            <w:rFonts w:ascii="Cambria Math" w:hAnsi="Cambria Math"/>
                            <w:sz w:val="22"/>
                            <w:szCs w:val="22"/>
                            <w:lang w:val="pl-PL"/>
                          </w:rPr>
                          <m:t>oil</m:t>
                        </m:r>
                      </m:sub>
                    </m:sSub>
                  </m:den>
                </m:f>
              </m:oMath>
            </m:oMathPara>
          </w:p>
        </w:tc>
        <w:tc>
          <w:tcPr>
            <w:tcW w:w="1133" w:type="dxa"/>
            <w:vAlign w:val="center"/>
          </w:tcPr>
          <w:p w:rsidR="00861090" w:rsidRPr="00CB37CA" w:rsidP="001137FD" w14:paraId="5D9CAE54" w14:textId="77777777">
            <w:pPr>
              <w:spacing w:before="120" w:after="120" w:line="276" w:lineRule="auto"/>
              <w:jc w:val="both"/>
              <w:rPr>
                <w:rFonts w:ascii="Avenir Next LT Pro" w:hAnsi="Avenir Next LT Pro"/>
                <w:sz w:val="22"/>
                <w:szCs w:val="22"/>
              </w:rPr>
            </w:pPr>
            <w:r w:rsidRPr="00CB37CA">
              <w:rPr>
                <w:rFonts w:ascii="Avenir Next LT Pro" w:hAnsi="Avenir Next LT Pro"/>
                <w:sz w:val="22"/>
                <w:szCs w:val="22"/>
              </w:rPr>
              <w:t>(1)</w:t>
            </w:r>
          </w:p>
        </w:tc>
      </w:tr>
    </w:tbl>
    <w:p w:rsidR="00CB37CA" w:rsidRPr="006679DE" w:rsidP="00CB37CA" w14:paraId="2A5B5291" w14:textId="5C385028">
      <w:pPr>
        <w:pStyle w:val="BodyText"/>
        <w:spacing w:before="118" w:line="275" w:lineRule="exact"/>
        <w:ind w:left="142"/>
        <w:rPr>
          <w:lang w:val="id"/>
        </w:rPr>
      </w:pPr>
      <w:r w:rsidRPr="006679DE">
        <w:rPr>
          <w:lang w:val="pl-PL"/>
        </w:rPr>
        <w:t xml:space="preserve">dengan </w:t>
      </w:r>
      <w:r w:rsidRPr="006679DE">
        <w:rPr>
          <w:rFonts w:ascii="Symbol" w:hAnsi="Symbol"/>
          <w:i/>
          <w:lang w:val="id"/>
        </w:rPr>
        <w:sym w:font="Symbol" w:char="F068"/>
      </w:r>
      <w:r w:rsidRPr="006679DE">
        <w:rPr>
          <w:i/>
          <w:vertAlign w:val="subscript"/>
          <w:lang w:val="id"/>
        </w:rPr>
        <w:t>th</w:t>
      </w:r>
      <w:r w:rsidRPr="006679DE">
        <w:rPr>
          <w:vertAlign w:val="subscript"/>
          <w:lang w:val="pl-PL"/>
        </w:rPr>
        <w:t xml:space="preserve">  </w:t>
      </w:r>
      <w:r w:rsidRPr="006679DE">
        <w:rPr>
          <w:lang w:val="pl-PL"/>
        </w:rPr>
        <w:t xml:space="preserve">= efisiensi kompor (%), </w:t>
      </w:r>
      <w:r w:rsidRPr="006679DE">
        <w:rPr>
          <w:i/>
          <w:iCs/>
          <w:lang w:val="id"/>
        </w:rPr>
        <w:t>m</w:t>
      </w:r>
      <w:r w:rsidRPr="006679DE">
        <w:rPr>
          <w:i/>
          <w:iCs/>
          <w:vertAlign w:val="subscript"/>
          <w:lang w:val="id"/>
        </w:rPr>
        <w:t xml:space="preserve">wi </w:t>
      </w:r>
      <w:r w:rsidRPr="006679DE">
        <w:rPr>
          <w:lang w:val="id"/>
        </w:rPr>
        <w:t xml:space="preserve">= masa air dan bejana sebelum perlakuan (kg), </w:t>
      </w:r>
      <w:bookmarkStart w:id="3" w:name="_Hlk192062936"/>
      <w:r w:rsidRPr="006679DE">
        <w:rPr>
          <w:i/>
          <w:iCs/>
          <w:lang w:val="id"/>
        </w:rPr>
        <w:t>m</w:t>
      </w:r>
      <w:r w:rsidRPr="006679DE">
        <w:rPr>
          <w:i/>
          <w:iCs/>
          <w:vertAlign w:val="subscript"/>
          <w:lang w:val="id"/>
        </w:rPr>
        <w:t xml:space="preserve">p </w:t>
      </w:r>
      <w:r w:rsidRPr="006679DE">
        <w:rPr>
          <w:lang w:val="id"/>
        </w:rPr>
        <w:t>=</w:t>
      </w:r>
      <w:bookmarkEnd w:id="3"/>
      <w:r w:rsidRPr="006679DE">
        <w:rPr>
          <w:lang w:val="id"/>
        </w:rPr>
        <w:t xml:space="preserve"> masa bejana (kg), </w:t>
      </w:r>
      <w:r w:rsidRPr="006679DE" w:rsidR="0082685D">
        <w:rPr>
          <w:i/>
          <w:iCs/>
          <w:lang w:val="id"/>
        </w:rPr>
        <w:t>m</w:t>
      </w:r>
      <w:r w:rsidRPr="006679DE" w:rsidR="0082685D">
        <w:rPr>
          <w:i/>
          <w:iCs/>
          <w:vertAlign w:val="subscript"/>
          <w:lang w:val="id"/>
        </w:rPr>
        <w:t xml:space="preserve">p </w:t>
      </w:r>
      <w:r w:rsidRPr="006679DE" w:rsidR="0082685D">
        <w:rPr>
          <w:lang w:val="id"/>
        </w:rPr>
        <w:t xml:space="preserve">= 0,9707 kg </w:t>
      </w:r>
      <w:r w:rsidRPr="006679DE" w:rsidR="003D7CD3">
        <w:rPr>
          <w:lang w:val="id"/>
        </w:rPr>
        <w:fldChar w:fldCharType="begin" w:fldLock="1"/>
      </w:r>
      <w:r w:rsidR="00A1528E">
        <w:rPr>
          <w:lang w:val="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6679DE" w:rsidR="003D7CD3">
        <w:rPr>
          <w:lang w:val="id"/>
        </w:rPr>
        <w:fldChar w:fldCharType="separate"/>
      </w:r>
      <w:r w:rsidRPr="00A1528E" w:rsidR="00A1528E">
        <w:rPr>
          <w:noProof/>
          <w:lang w:val="id"/>
        </w:rPr>
        <w:t>[17]</w:t>
      </w:r>
      <w:r w:rsidRPr="006679DE" w:rsidR="003D7CD3">
        <w:rPr>
          <w:lang w:val="id"/>
        </w:rPr>
        <w:fldChar w:fldCharType="end"/>
      </w:r>
      <w:r w:rsidRPr="006679DE" w:rsidR="0082685D">
        <w:rPr>
          <w:lang w:val="id"/>
        </w:rPr>
        <w:t xml:space="preserve">, </w:t>
      </w:r>
      <w:r w:rsidRPr="006679DE">
        <w:rPr>
          <w:i/>
          <w:iCs/>
          <w:lang w:val="id"/>
        </w:rPr>
        <w:t>C</w:t>
      </w:r>
      <w:r w:rsidRPr="006679DE">
        <w:rPr>
          <w:i/>
          <w:iCs/>
          <w:vertAlign w:val="subscript"/>
          <w:lang w:val="id"/>
        </w:rPr>
        <w:t xml:space="preserve">pw </w:t>
      </w:r>
      <w:r w:rsidRPr="006679DE">
        <w:rPr>
          <w:lang w:val="id"/>
        </w:rPr>
        <w:t xml:space="preserve">= </w:t>
      </w:r>
      <w:r w:rsidRPr="006679DE">
        <w:rPr>
          <w:lang w:val="id"/>
        </w:rPr>
        <w:t xml:space="preserve">panas spesifik air (kJ/kg K), </w:t>
      </w:r>
      <w:r w:rsidRPr="006679DE">
        <w:rPr>
          <w:i/>
          <w:iCs/>
          <w:lang w:val="id"/>
        </w:rPr>
        <w:t>C</w:t>
      </w:r>
      <w:r w:rsidRPr="006679DE">
        <w:rPr>
          <w:i/>
          <w:iCs/>
          <w:vertAlign w:val="subscript"/>
          <w:lang w:val="id"/>
        </w:rPr>
        <w:t xml:space="preserve">pw </w:t>
      </w:r>
      <w:r w:rsidRPr="006679DE">
        <w:rPr>
          <w:lang w:val="id"/>
        </w:rPr>
        <w:t>= 4,186 kJ/kg K</w:t>
      </w:r>
      <w:r w:rsidRPr="006679DE" w:rsidR="006679DE">
        <w:rPr>
          <w:lang w:val="id"/>
        </w:rPr>
        <w:t xml:space="preserve"> </w:t>
      </w:r>
      <w:r w:rsidRPr="006679DE" w:rsidR="006679DE">
        <w:rPr>
          <w:lang w:val="id"/>
        </w:rPr>
        <w:fldChar w:fldCharType="begin" w:fldLock="1"/>
      </w:r>
      <w:r w:rsidR="00A1528E">
        <w:rPr>
          <w:lang w:val="id"/>
        </w:rPr>
        <w:instrText>ADDIN CSL_CITATION {"citationItems":[{"id":"ITEM-1","itemData":{"abstract":"Protocolo de las pruebas WBT","author":[{"dropping-particle":"","family":"EPA, PCIA","given":"Alliance","non-dropping-particle":"","parse-names":false,"suffix":""}],"id":"ITEM-1","issue":"March","issued":{"date-parts":[["2014"]]},"page":"86","title":"The Water Boiling Test","type":"article-journal","volume":"4.2.3"},"uris":["http://www.mendeley.com/documents/?uuid=f2667119-2223-442e-9be9-5dae5227f34d"]}],"mendeley":{"formattedCitation":"[22]","plainTextFormattedCitation":"[22]","previouslyFormattedCitation":"(EPA, PCIA, 2014)"},"properties":{"noteIndex":0},"schema":"https://github.com/citation-style-language/schema/raw/master/csl-citation.json"}</w:instrText>
      </w:r>
      <w:r w:rsidRPr="006679DE" w:rsidR="006679DE">
        <w:rPr>
          <w:lang w:val="id"/>
        </w:rPr>
        <w:fldChar w:fldCharType="separate"/>
      </w:r>
      <w:r w:rsidRPr="00A1528E" w:rsidR="00A1528E">
        <w:rPr>
          <w:noProof/>
          <w:lang w:val="id"/>
        </w:rPr>
        <w:t>[22]</w:t>
      </w:r>
      <w:r w:rsidRPr="006679DE" w:rsidR="006679DE">
        <w:rPr>
          <w:lang w:val="id"/>
        </w:rPr>
        <w:fldChar w:fldCharType="end"/>
      </w:r>
      <w:r w:rsidRPr="006679DE">
        <w:rPr>
          <w:lang w:val="id"/>
        </w:rPr>
        <w:t xml:space="preserve">, </w:t>
      </w:r>
      <w:r w:rsidRPr="006679DE">
        <w:rPr>
          <w:i/>
          <w:iCs/>
          <w:lang w:val="id"/>
        </w:rPr>
        <w:t>T</w:t>
      </w:r>
      <w:r w:rsidRPr="006679DE">
        <w:rPr>
          <w:i/>
          <w:iCs/>
          <w:vertAlign w:val="subscript"/>
          <w:lang w:val="id"/>
        </w:rPr>
        <w:t xml:space="preserve">wf </w:t>
      </w:r>
      <w:r w:rsidRPr="006679DE">
        <w:rPr>
          <w:lang w:val="id"/>
        </w:rPr>
        <w:t xml:space="preserve">= temperatur air setelah perlakuan (K), </w:t>
      </w:r>
      <w:r w:rsidRPr="006679DE">
        <w:rPr>
          <w:i/>
          <w:iCs/>
          <w:lang w:val="id"/>
        </w:rPr>
        <w:t>T</w:t>
      </w:r>
      <w:r w:rsidRPr="006679DE">
        <w:rPr>
          <w:i/>
          <w:iCs/>
          <w:vertAlign w:val="subscript"/>
          <w:lang w:val="id"/>
        </w:rPr>
        <w:t xml:space="preserve">wi </w:t>
      </w:r>
      <w:r w:rsidRPr="006679DE">
        <w:rPr>
          <w:lang w:val="id"/>
        </w:rPr>
        <w:t xml:space="preserve">= temperatur air sebelum perlakuan (K), </w:t>
      </w:r>
      <w:r w:rsidRPr="006679DE">
        <w:rPr>
          <w:i/>
          <w:iCs/>
          <w:lang w:val="id"/>
        </w:rPr>
        <w:t>m</w:t>
      </w:r>
      <w:r w:rsidRPr="006679DE">
        <w:rPr>
          <w:i/>
          <w:iCs/>
          <w:vertAlign w:val="subscript"/>
          <w:lang w:val="id"/>
        </w:rPr>
        <w:t xml:space="preserve">u </w:t>
      </w:r>
      <w:r w:rsidRPr="006679DE">
        <w:rPr>
          <w:lang w:val="id"/>
        </w:rPr>
        <w:t xml:space="preserve">= massa uap setelah perlakuan (kg), </w:t>
      </w:r>
      <w:r w:rsidRPr="006679DE">
        <w:rPr>
          <w:i/>
          <w:iCs/>
          <w:lang w:val="id"/>
        </w:rPr>
        <w:t>m</w:t>
      </w:r>
      <w:r w:rsidRPr="006679DE">
        <w:rPr>
          <w:i/>
          <w:iCs/>
          <w:vertAlign w:val="subscript"/>
          <w:lang w:val="id"/>
        </w:rPr>
        <w:t>f</w:t>
      </w:r>
      <w:r w:rsidRPr="006679DE">
        <w:rPr>
          <w:i/>
          <w:iCs/>
          <w:lang w:val="id"/>
        </w:rPr>
        <w:t xml:space="preserve"> </w:t>
      </w:r>
      <w:r w:rsidRPr="006679DE">
        <w:rPr>
          <w:lang w:val="id"/>
        </w:rPr>
        <w:t xml:space="preserve">= massa bahan bakar terpakai setelah </w:t>
      </w:r>
      <w:r w:rsidRPr="006679DE">
        <w:rPr>
          <w:lang w:val="id"/>
        </w:rPr>
        <w:t xml:space="preserve">perlakuan (kg), </w:t>
      </w:r>
      <w:r w:rsidRPr="006679DE">
        <w:rPr>
          <w:i/>
          <w:iCs/>
          <w:lang w:val="id"/>
        </w:rPr>
        <w:t>E</w:t>
      </w:r>
      <w:r w:rsidRPr="006679DE">
        <w:rPr>
          <w:i/>
          <w:iCs/>
          <w:vertAlign w:val="subscript"/>
          <w:lang w:val="id"/>
        </w:rPr>
        <w:t>oil</w:t>
      </w:r>
      <w:r w:rsidRPr="006679DE">
        <w:rPr>
          <w:i/>
          <w:iCs/>
          <w:lang w:val="id"/>
        </w:rPr>
        <w:t xml:space="preserve"> </w:t>
      </w:r>
      <w:r w:rsidRPr="006679DE">
        <w:rPr>
          <w:lang w:val="id"/>
        </w:rPr>
        <w:t xml:space="preserve">= nilai kalor </w:t>
      </w:r>
      <w:r w:rsidRPr="006679DE">
        <w:rPr>
          <w:i/>
          <w:iCs/>
          <w:lang w:val="id"/>
        </w:rPr>
        <w:t>netto</w:t>
      </w:r>
      <w:r w:rsidRPr="006679DE">
        <w:rPr>
          <w:lang w:val="id"/>
        </w:rPr>
        <w:t xml:space="preserve"> bahan bakar (kJ/kg), </w:t>
      </w:r>
      <w:r w:rsidRPr="006679DE">
        <w:rPr>
          <w:i/>
          <w:iCs/>
          <w:lang w:val="id"/>
        </w:rPr>
        <w:t>H</w:t>
      </w:r>
      <w:r w:rsidRPr="006679DE">
        <w:rPr>
          <w:i/>
          <w:iCs/>
          <w:vertAlign w:val="subscript"/>
          <w:lang w:val="id"/>
        </w:rPr>
        <w:t xml:space="preserve">u </w:t>
      </w:r>
      <w:r w:rsidRPr="006679DE">
        <w:rPr>
          <w:lang w:val="id"/>
        </w:rPr>
        <w:t xml:space="preserve">= panas laten air menguap (kJ/kg), </w:t>
      </w:r>
      <w:r w:rsidRPr="006679DE">
        <w:rPr>
          <w:i/>
          <w:iCs/>
          <w:lang w:val="id"/>
        </w:rPr>
        <w:t>H</w:t>
      </w:r>
      <w:r w:rsidRPr="006679DE">
        <w:rPr>
          <w:i/>
          <w:iCs/>
          <w:vertAlign w:val="subscript"/>
          <w:lang w:val="id"/>
        </w:rPr>
        <w:t>u</w:t>
      </w:r>
      <w:r w:rsidRPr="006679DE">
        <w:rPr>
          <w:i/>
          <w:iCs/>
          <w:lang w:val="id"/>
        </w:rPr>
        <w:t xml:space="preserve"> </w:t>
      </w:r>
      <w:r w:rsidRPr="006679DE">
        <w:rPr>
          <w:lang w:val="id"/>
        </w:rPr>
        <w:t>= 2</w:t>
      </w:r>
      <w:r w:rsidRPr="006679DE" w:rsidR="006D4C92">
        <w:rPr>
          <w:lang w:val="id"/>
        </w:rPr>
        <w:t>.</w:t>
      </w:r>
      <w:r w:rsidRPr="006679DE">
        <w:rPr>
          <w:lang w:val="id"/>
        </w:rPr>
        <w:t>260 kJ/kg</w:t>
      </w:r>
      <w:r w:rsidRPr="006679DE" w:rsidR="006679DE">
        <w:rPr>
          <w:lang w:val="id"/>
        </w:rPr>
        <w:t xml:space="preserve"> </w:t>
      </w:r>
      <w:r w:rsidRPr="006679DE" w:rsidR="006679DE">
        <w:rPr>
          <w:lang w:val="id"/>
        </w:rPr>
        <w:fldChar w:fldCharType="begin" w:fldLock="1"/>
      </w:r>
      <w:r w:rsidR="00A1528E">
        <w:rPr>
          <w:lang w:val="id"/>
        </w:rPr>
        <w:instrText>ADDIN CSL_CITATION {"citationItems":[{"id":"ITEM-1","itemData":{"abstract":"Protocolo de las pruebas WBT","author":[{"dropping-particle":"","family":"EPA, PCIA","given":"Alliance","non-dropping-particle":"","parse-names":false,"suffix":""}],"id":"ITEM-1","issue":"March","issued":{"date-parts":[["2014"]]},"page":"86","title":"The Water Boiling Test","type":"article-journal","volume":"4.2.3"},"uris":["http://www.mendeley.com/documents/?uuid=f2667119-2223-442e-9be9-5dae5227f34d"]}],"mendeley":{"formattedCitation":"[22]","plainTextFormattedCitation":"[22]","previouslyFormattedCitation":"(EPA, PCIA, 2014)"},"properties":{"noteIndex":0},"schema":"https://github.com/citation-style-language/schema/raw/master/csl-citation.json"}</w:instrText>
      </w:r>
      <w:r w:rsidRPr="006679DE" w:rsidR="006679DE">
        <w:rPr>
          <w:lang w:val="id"/>
        </w:rPr>
        <w:fldChar w:fldCharType="separate"/>
      </w:r>
      <w:r w:rsidRPr="00A1528E" w:rsidR="00A1528E">
        <w:rPr>
          <w:noProof/>
          <w:lang w:val="id"/>
        </w:rPr>
        <w:t>[22]</w:t>
      </w:r>
      <w:r w:rsidRPr="006679DE" w:rsidR="006679DE">
        <w:rPr>
          <w:lang w:val="id"/>
        </w:rPr>
        <w:fldChar w:fldCharType="end"/>
      </w:r>
      <w:r w:rsidRPr="006679DE">
        <w:rPr>
          <w:lang w:val="id"/>
        </w:rPr>
        <w:t>.</w:t>
      </w:r>
      <w:r w:rsidRPr="006679DE" w:rsidR="0044583E">
        <w:rPr>
          <w:lang w:val="id"/>
        </w:rPr>
        <w:t xml:space="preserve"> Instalasi penelitian sebagaimana ditunjukkan pada gambar 3. </w:t>
      </w:r>
    </w:p>
    <w:p w:rsidR="00457EFC" w:rsidP="00CB37CA" w14:paraId="25CE0FDA" w14:textId="77777777">
      <w:pPr>
        <w:pStyle w:val="BodyText"/>
        <w:spacing w:before="118" w:line="275" w:lineRule="exact"/>
        <w:ind w:left="142"/>
        <w:rPr>
          <w:lang w:val="id"/>
        </w:rPr>
        <w:sectPr w:rsidSect="005C6220">
          <w:type w:val="continuous"/>
          <w:pgSz w:w="11910" w:h="16840"/>
          <w:pgMar w:top="1340" w:right="1133" w:bottom="980" w:left="1275" w:header="0" w:footer="788" w:gutter="0"/>
          <w:cols w:num="2" w:space="355"/>
        </w:sectPr>
      </w:pPr>
    </w:p>
    <w:p w:rsidR="00457EFC" w:rsidP="00CB37CA" w14:paraId="2A4A23FD" w14:textId="03E68876">
      <w:pPr>
        <w:pStyle w:val="BodyText"/>
        <w:spacing w:before="118" w:line="275" w:lineRule="exact"/>
        <w:ind w:left="142"/>
        <w:rPr>
          <w:lang w:val="id"/>
        </w:rPr>
      </w:pPr>
      <w:r>
        <w:rPr>
          <w:noProof/>
          <w:color w:val="0070C0"/>
          <w:lang w:val="id"/>
        </w:rPr>
        <w:drawing>
          <wp:anchor distT="0" distB="0" distL="114300" distR="114300" simplePos="0" relativeHeight="251667456" behindDoc="1" locked="0" layoutInCell="1" allowOverlap="1">
            <wp:simplePos x="0" y="0"/>
            <wp:positionH relativeFrom="column">
              <wp:posOffset>864072</wp:posOffset>
            </wp:positionH>
            <wp:positionV relativeFrom="paragraph">
              <wp:posOffset>79482</wp:posOffset>
            </wp:positionV>
            <wp:extent cx="4300396" cy="2720781"/>
            <wp:effectExtent l="0" t="0" r="0" b="0"/>
            <wp:wrapNone/>
            <wp:docPr id="205139674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96745" name="Picture 10"/>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0396" cy="2720781"/>
                    </a:xfrm>
                    <a:prstGeom prst="rect">
                      <a:avLst/>
                    </a:prstGeom>
                    <a:noFill/>
                  </pic:spPr>
                </pic:pic>
              </a:graphicData>
            </a:graphic>
            <wp14:sizeRelH relativeFrom="page">
              <wp14:pctWidth>0</wp14:pctWidth>
            </wp14:sizeRelH>
            <wp14:sizeRelV relativeFrom="page">
              <wp14:pctHeight>0</wp14:pctHeight>
            </wp14:sizeRelV>
          </wp:anchor>
        </w:drawing>
      </w:r>
    </w:p>
    <w:p w:rsidR="0044583E" w:rsidP="00CB37CA" w14:paraId="30A656C9" w14:textId="0961B196">
      <w:pPr>
        <w:pStyle w:val="BodyText"/>
        <w:spacing w:before="118" w:line="275" w:lineRule="exact"/>
        <w:ind w:left="142"/>
        <w:rPr>
          <w:color w:val="0070C0"/>
          <w:lang w:val="id"/>
        </w:rPr>
      </w:pPr>
    </w:p>
    <w:p w:rsidR="0044583E" w:rsidP="00CB37CA" w14:paraId="0394D467" w14:textId="17A04497">
      <w:pPr>
        <w:pStyle w:val="BodyText"/>
        <w:spacing w:before="118" w:line="275" w:lineRule="exact"/>
        <w:ind w:left="142"/>
        <w:rPr>
          <w:color w:val="0070C0"/>
          <w:lang w:val="id"/>
        </w:rPr>
      </w:pPr>
    </w:p>
    <w:p w:rsidR="0044583E" w:rsidP="00CB37CA" w14:paraId="7BAA09B1" w14:textId="06641DC7">
      <w:pPr>
        <w:pStyle w:val="BodyText"/>
        <w:spacing w:before="118" w:line="275" w:lineRule="exact"/>
        <w:ind w:left="142"/>
        <w:rPr>
          <w:color w:val="0070C0"/>
          <w:lang w:val="id"/>
        </w:rPr>
      </w:pPr>
    </w:p>
    <w:p w:rsidR="0044583E" w:rsidP="00CB37CA" w14:paraId="2C527EF6" w14:textId="6C783D6A">
      <w:pPr>
        <w:pStyle w:val="BodyText"/>
        <w:spacing w:before="118" w:line="275" w:lineRule="exact"/>
        <w:ind w:left="142"/>
        <w:rPr>
          <w:color w:val="0070C0"/>
          <w:lang w:val="id"/>
        </w:rPr>
      </w:pPr>
    </w:p>
    <w:p w:rsidR="0044583E" w:rsidP="00CB37CA" w14:paraId="0EA3FF45" w14:textId="77777777">
      <w:pPr>
        <w:pStyle w:val="BodyText"/>
        <w:spacing w:before="118" w:line="275" w:lineRule="exact"/>
        <w:ind w:left="142"/>
        <w:rPr>
          <w:color w:val="0070C0"/>
          <w:lang w:val="id"/>
        </w:rPr>
      </w:pPr>
    </w:p>
    <w:p w:rsidR="0044583E" w:rsidP="00CB37CA" w14:paraId="34AB9502" w14:textId="77777777">
      <w:pPr>
        <w:pStyle w:val="BodyText"/>
        <w:spacing w:before="118" w:line="275" w:lineRule="exact"/>
        <w:ind w:left="142"/>
        <w:rPr>
          <w:color w:val="0070C0"/>
          <w:lang w:val="id"/>
        </w:rPr>
      </w:pPr>
    </w:p>
    <w:p w:rsidR="0044583E" w:rsidP="00CB37CA" w14:paraId="346A9D80" w14:textId="6C1E8F2E">
      <w:pPr>
        <w:pStyle w:val="BodyText"/>
        <w:spacing w:before="118" w:line="275" w:lineRule="exact"/>
        <w:ind w:left="142"/>
        <w:rPr>
          <w:color w:val="0070C0"/>
          <w:lang w:val="id"/>
        </w:rPr>
      </w:pPr>
    </w:p>
    <w:p w:rsidR="00457EFC" w:rsidP="00CB37CA" w14:paraId="68B9A9D0" w14:textId="77777777">
      <w:pPr>
        <w:pStyle w:val="BodyText"/>
        <w:spacing w:before="118" w:line="275" w:lineRule="exact"/>
        <w:ind w:left="142"/>
        <w:rPr>
          <w:color w:val="0070C0"/>
          <w:lang w:val="id"/>
        </w:rPr>
      </w:pPr>
    </w:p>
    <w:p w:rsidR="0044583E" w:rsidP="00CB37CA" w14:paraId="35494246" w14:textId="6739ED7C">
      <w:pPr>
        <w:pStyle w:val="BodyText"/>
        <w:spacing w:before="118" w:line="275" w:lineRule="exact"/>
        <w:ind w:left="142"/>
        <w:rPr>
          <w:color w:val="0070C0"/>
          <w:lang w:val="id"/>
        </w:rPr>
      </w:pPr>
    </w:p>
    <w:p w:rsidR="0044583E" w:rsidP="00CB37CA" w14:paraId="1518596B" w14:textId="748ADD9F">
      <w:pPr>
        <w:pStyle w:val="BodyText"/>
        <w:spacing w:before="118" w:line="275" w:lineRule="exact"/>
        <w:ind w:left="142"/>
        <w:rPr>
          <w:color w:val="0070C0"/>
          <w:lang w:val="id"/>
        </w:rPr>
      </w:pPr>
    </w:p>
    <w:p w:rsidR="0044583E" w:rsidRPr="006D25FE" w:rsidP="0044583E" w14:paraId="3AB4C1DA" w14:textId="33FA1C5F">
      <w:pPr>
        <w:pStyle w:val="BodyText"/>
        <w:spacing w:before="118" w:line="275" w:lineRule="exact"/>
        <w:ind w:left="142"/>
        <w:jc w:val="center"/>
        <w:rPr>
          <w:lang w:val="id-ID"/>
        </w:rPr>
      </w:pPr>
      <w:r w:rsidRPr="006D25FE">
        <w:t>Gambar 3. Foto instalasi pengukuran efisiensi</w:t>
      </w:r>
      <w:r w:rsidRPr="006D25FE" w:rsidR="000B3CF9">
        <w:t xml:space="preserve"> </w:t>
      </w:r>
      <w:r w:rsidRPr="006D25FE" w:rsidR="006679DE">
        <w:fldChar w:fldCharType="begin" w:fldLock="1"/>
      </w:r>
      <w:r w:rsidR="00A1528E">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6D25FE" w:rsidR="006679DE">
        <w:fldChar w:fldCharType="separate"/>
      </w:r>
      <w:r w:rsidRPr="00A1528E" w:rsidR="00A1528E">
        <w:rPr>
          <w:noProof/>
        </w:rPr>
        <w:t>[17]</w:t>
      </w:r>
      <w:r w:rsidRPr="006D25FE" w:rsidR="006679DE">
        <w:fldChar w:fldCharType="end"/>
      </w:r>
    </w:p>
    <w:p w:rsidR="00B91EA3" w:rsidP="00CB37CA" w14:paraId="44BDC776" w14:textId="5B708CD2">
      <w:pPr>
        <w:pStyle w:val="BodyText"/>
        <w:spacing w:before="118" w:line="275" w:lineRule="exact"/>
        <w:ind w:left="142"/>
        <w:rPr>
          <w:color w:val="0070C0"/>
          <w:lang w:val="id"/>
        </w:rPr>
      </w:pPr>
    </w:p>
    <w:p w:rsidR="00B91EA3" w:rsidP="00CB37CA" w14:paraId="4A894346" w14:textId="77777777">
      <w:pPr>
        <w:pStyle w:val="BodyText"/>
        <w:spacing w:before="118" w:line="275" w:lineRule="exact"/>
        <w:ind w:left="142"/>
        <w:rPr>
          <w:color w:val="0070C0"/>
          <w:lang w:val="id"/>
        </w:rPr>
        <w:sectPr w:rsidSect="00457EFC">
          <w:type w:val="continuous"/>
          <w:pgSz w:w="11910" w:h="16840"/>
          <w:pgMar w:top="1340" w:right="1133" w:bottom="980" w:left="1275" w:header="0" w:footer="788" w:gutter="0"/>
          <w:cols w:space="355"/>
        </w:sectPr>
      </w:pPr>
    </w:p>
    <w:p w:rsidR="00E27E38" w:rsidRPr="00B927A2" w:rsidP="00547193" w14:paraId="69E5CD2A" w14:textId="61D0AC35">
      <w:pPr>
        <w:pStyle w:val="BodyText"/>
        <w:spacing w:line="275" w:lineRule="exact"/>
        <w:ind w:left="142" w:firstLine="734"/>
        <w:rPr>
          <w:lang w:val="id-ID"/>
        </w:rPr>
      </w:pPr>
      <w:r w:rsidRPr="00B927A2">
        <w:rPr>
          <w:lang w:val="id-ID"/>
        </w:rPr>
        <w:t xml:space="preserve">Distribusi temperatur api dianalisis menggunakan enam termokopel yang ditempatkan pada 150 titik pengukuran. Data suhu kemudian dipetakan menggunakan Matlab untuk mendapatkan kontur distribusi temperatur </w:t>
      </w:r>
      <w:r w:rsidRPr="00B927A2" w:rsidR="00F4601D">
        <w:rPr>
          <w:lang w:val="id-ID"/>
        </w:rPr>
        <w:t xml:space="preserve">api </w:t>
      </w:r>
      <w:r w:rsidRPr="00B927A2" w:rsidR="006D25FE">
        <w:rPr>
          <w:lang w:val="id-ID"/>
        </w:rPr>
        <w:fldChar w:fldCharType="begin" w:fldLock="1"/>
      </w:r>
      <w:r w:rsidRPr="00B927A2" w:rsidR="00A1528E">
        <w:rPr>
          <w:lang w:val="id-ID"/>
        </w:rPr>
        <w:instrText>ADDIN CSL_CITATION {"citationItems":[{"id":"ITEM-1","itemData":{"DOI":"10.5937/jaes0-28385","ISSN":"18213197","abstract":"The purpose of this study was to determine the effect of use ember element from woven nickel wire to increasing the efficiency of the LPG stoves. It is supposed that high-temperature embers can burn more fuel around the wire, thereby increasing the area of complete combustion. The test was conducted by means of a Water Boiling Test (WBT) and the number of ember layers varied from one to four. It was found that the use of elements of fire without reflectors could increase efficiency by 8.32%, with the highest efficiency being with the use of a single layer ember element of the fire, of 61.71%. However, the use of elements of fire in the finned heat reflectors causes efficiency to decrease, as the pattern to put elements of fire interfere with the reflectivity. This means the heat reflection is blocked by the pattern and trapped between the reflector and pattern elements. As a result, the heat energy from the reflector reflection cannot be forwarded to the combustion zone. The test results also show that the temperature distribution from ember element use can increase the area of complete combustion.","author":[{"dropping-particle":"","family":"Sudarno","given":"S.","non-dropping-particle":"","parse-names":false,"suffix":""},{"dropping-particle":"","family":"Soeparman","given":"S.","non-dropping-particle":"","parse-names":false,"suffix":""},{"dropping-particle":"","family":"Wahyudi","given":"S.","non-dropping-particle":"","parse-names":false,"suffix":""},{"dropping-particle":"","family":"Widodo","given":"A.S.","non-dropping-particle":"","parse-names":false,"suffix":""}],"container-title":"Journal of Applied Engineering Science","id":"ITEM-1","issue":"2","issued":{"date-parts":[["2021"]]},"title":"Effect of the ember element in increasing the efficiency of liquefied petroleum gas stoves","type":"article-journal","volume":"19"},"uris":["http://www.mendeley.com/documents/?uuid=95ffbc2d-f775-33fc-a7c2-3ada4b1d068e"]},{"id":"ITEM-2","itemData":{"DOI":"10.5937/jaes0-48185","ISSN":"1451-4117","abstract":"This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Science","id":"ITEM-2","issued":{"date-parts":[["2024"]]},"page":"1-9","title":"the Effect of Fuel Preheating on the Performance of Used Oil Fuel Stoves","type":"article-journal"},"uris":["http://www.mendeley.com/documents/?uuid=66148784-e38c-49fa-a84e-67495335600d"]},{"id":"ITEM-3","itemData":{"DOI":"10.14716/ijtech.v12i1.3958","ISSN":"20872100","abstract":"The objective in this study was to construct a finned heat radiation reflector using a cut cone-shaped stainless steel plate. In addition, its efficiency was examined by the water boiling test by varying the fin rows and angles. Measurements were performed on reflectors with one, two and three rows of fins, which were compared with conventional stoves with and finless reflectors. Furthermore, fin angles of 5°, 10°, 15°, 20° and 25° were evaluated by the variation in the fin rows, and the most efficient configuration was investigated. Results revealed that finned reflectors increase the efficiency of liquefied petroleum gas stoves. The highest efficiency (60%) was obtained for the reflector with three finned rows and a fin angle of 10°. Compared with those of conventional reflectors and reflectors without fins, 7.87% and 4.47% increase in the efficiency was observed, respectively. Furthermore, the use of finned reflectors enhanced the area of complete combustion.","author":[{"dropping-particle":"","family":"Sudarno","given":"","non-dropping-particle":"","parse-names":false,"suffix":""},{"dropping-particle":"","family":"Soeparman","given":"S.","non-dropping-particle":"","parse-names":false,"suffix":""},{"dropping-particle":"","family":"Wahyudi","given":"S.","non-dropping-particle":"","parse-names":false,"suffix":""},{"dropping-particle":"","family":"Widodo","given":"A.S.","non-dropping-particle":"","parse-names":false,"suffix":""}],"container-title":"International Journal of Technology","id":"ITEM-3","issue":"1","issued":{"date-parts":[["2021"]]},"title":"Construction of a Finned Heat Radiation Reflector for Improved Efficiency of Liquefied Petroleum Gas Stoves","type":"article-journal","volume":"12"},"uris":["http://www.mendeley.com/documents/?uuid=f79dcb8f-46f4-32d6-b5d7-1f29c2784885"]},{"id":"ITEM-4","itemData":{"DOI":"10.1016/j.rineng.2022.100658","ISSN":"25901230","abstract":"The low efficiency of liquefied petroleum gas (LPG) stoves, one of which is caused by the loss of environmental heat. In order to increase efficiency, the heat loss will be captured and reflected back using a finned heat reflector. The purpose of this study was to find the effect of the material and diameter of the finned heat reflector on the efficiency and distribution of flame temperature on the LPG stove. The research was conducted on an LPG stove with a finned heat reflector installed. The conical reflector model is truncated facing upwards and made of fins that are directed at the inner side. Efficiency measurement is done by Water Boiling Test (WBT) while temperature distribution by experiment. The reflector material is varied, namely aluminum, stainless steel, and aluminum foil, while the diameter of the reflector is also varied, namely 145 mm–165 mm with a range of 5 mm. The efficiency value obtained is also compared with conventional stoves. Based on the results of the study, it was found that the finned heat reflector with 155 mm diameter stainless steel material produced the highest efficiency of 60%, an increase of 7.9% compared to conventional stoves. It was also found that the material and diameter produced the largest heat area and the highest temperature. This happens because of the complete combustion process and the optimal function of the reflector in reflecting back the radiation heat losses.","author":[{"dropping-particle":"","family":"Widodo","given":"A.","non-dropping-particle":"","parse-names":false,"suffix":""},{"dropping-particle":"","family":"Sudarno","given":"","non-dropping-particle":"","parse-names":false,"suffix":""},{"dropping-particle":"","family":"Soeparman","given":"S.","non-dropping-particle":"","parse-names":false,"suffix":""},{"dropping-particle":"","family":"Wahyudi","given":"S.","non-dropping-particle":"","parse-names":false,"suffix":""}],"container-title":"Results in Engineering","id":"ITEM-4","issued":{"date-parts":[["2022"]]},"title":"The effect of finned heat reflector materials and diameters on the efficiency and temperature distribution of liquefied petroleum gas stove","type":"article-journal","volume":"16"},"uris":["http://www.mendeley.com/documents/?uuid=19c7dd3a-5649-3413-a201-0af3b76b4fdc"]}],"mendeley":{"formattedCitation":"[15], [17], [18], [23]","plainTextFormattedCitation":"[15], [17], [18], [23]","previouslyFormattedCitation":"(Sudarno et al., 2021b, 2021a, 2024; Widodo et al., 2022)"},"properties":{"noteIndex":0},"schema":"https://github.com/citation-style-language/schema/raw/master/csl-citation.json"}</w:instrText>
      </w:r>
      <w:r w:rsidRPr="00B927A2" w:rsidR="006D25FE">
        <w:rPr>
          <w:lang w:val="id-ID"/>
        </w:rPr>
        <w:fldChar w:fldCharType="separate"/>
      </w:r>
      <w:r w:rsidRPr="00B927A2" w:rsidR="00A1528E">
        <w:rPr>
          <w:noProof/>
          <w:lang w:val="id-ID"/>
        </w:rPr>
        <w:t>[15], [17], [18], [23]</w:t>
      </w:r>
      <w:r w:rsidRPr="00B927A2" w:rsidR="006D25FE">
        <w:rPr>
          <w:lang w:val="id-ID"/>
        </w:rPr>
        <w:fldChar w:fldCharType="end"/>
      </w:r>
      <w:r w:rsidRPr="00B927A2">
        <w:rPr>
          <w:lang w:val="id-ID"/>
        </w:rPr>
        <w:t>.</w:t>
      </w:r>
    </w:p>
    <w:p w:rsidR="00E27E38" w:rsidRPr="00B927A2" w:rsidP="00547193" w14:paraId="2FFCBAF2" w14:textId="39350EDC">
      <w:pPr>
        <w:pStyle w:val="BodyText"/>
        <w:spacing w:line="275" w:lineRule="exact"/>
        <w:ind w:left="142" w:firstLine="734"/>
        <w:rPr>
          <w:lang w:val="id-ID"/>
        </w:rPr>
      </w:pPr>
      <w:r w:rsidRPr="00B927A2">
        <w:rPr>
          <w:lang w:val="id-ID"/>
        </w:rPr>
        <w:t xml:space="preserve">Pengukuran emisi gas buang dilakukan menggunakan </w:t>
      </w:r>
      <w:r w:rsidRPr="00B927A2">
        <w:rPr>
          <w:i/>
          <w:iCs/>
          <w:lang w:val="id-ID"/>
        </w:rPr>
        <w:t>gas analyzer</w:t>
      </w:r>
      <w:r w:rsidRPr="00B927A2">
        <w:rPr>
          <w:lang w:val="id-ID"/>
        </w:rPr>
        <w:t xml:space="preserve"> untuk mendeteksi CO, CO₂, dan HC. Pengambilan data dilakukan pada kondisi nyala api stabil </w:t>
      </w:r>
      <w:r w:rsidRPr="00B927A2" w:rsidR="00F4601D">
        <w:rPr>
          <w:lang w:val="id-ID"/>
        </w:rPr>
        <w:t xml:space="preserve">menggunakan </w:t>
      </w:r>
      <w:r w:rsidRPr="00B927A2">
        <w:rPr>
          <w:lang w:val="id-ID"/>
        </w:rPr>
        <w:t xml:space="preserve">cerobong berbentuk kerucut untuk mengalirkan gas hasil pembakaran. Data yang diperoleh dianalisis untuk menilai </w:t>
      </w:r>
      <w:r w:rsidRPr="00B927A2">
        <w:rPr>
          <w:lang w:val="id-ID"/>
        </w:rPr>
        <w:t xml:space="preserve">tingkat emisi dan dampaknya terhadap </w:t>
      </w:r>
      <w:r w:rsidR="00B927A2">
        <w:rPr>
          <w:lang w:val="id-ID"/>
        </w:rPr>
        <w:t>l</w:t>
      </w:r>
      <w:r w:rsidRPr="00B927A2">
        <w:rPr>
          <w:lang w:val="id-ID"/>
        </w:rPr>
        <w:t xml:space="preserve">ingkungan serta kesehatan masyarakat </w:t>
      </w:r>
      <w:r w:rsidRPr="00B927A2" w:rsidR="006D25FE">
        <w:rPr>
          <w:lang w:val="id-ID"/>
        </w:rPr>
        <w:fldChar w:fldCharType="begin" w:fldLock="1"/>
      </w:r>
      <w:r w:rsidRPr="00B927A2" w:rsidR="00A1528E">
        <w:rPr>
          <w:lang w:val="id-ID"/>
        </w:rPr>
        <w:instrText>ADDIN CSL_CITATION {"citationItems":[{"id":"ITEM-1","itemData":{"author":[{"dropping-particle":"","family":"Sudarno, Kuntang Winangun","given":"Anggit Maulana Prastya","non-dropping-particle":"","parse-names":false,"suffix":""}],"container-title":"Jurnal AutoMach","id":"ITEM-1","issued":{"date-parts":[["2022"]]},"page":"11-18","title":"Pengaruh Modifikasi Kampas Kopling Terhadap Torsi, Daya Dan Emisi Gas Buang Pada Kendaraan Yamaha New V-Ixion 150cc","type":"article-journal","volume":"02"},"uris":["http://www.mendeley.com/documents/?uuid=e50d5de4-5465-4e3f-b662-7b478841292f"]}],"mendeley":{"formattedCitation":"[24]","plainTextFormattedCitation":"[24]","previouslyFormattedCitation":"(Sudarno, Kuntang Winangun, 2022)"},"properties":{"noteIndex":0},"schema":"https://github.com/citation-style-language/schema/raw/master/csl-citation.json"}</w:instrText>
      </w:r>
      <w:r w:rsidRPr="00B927A2" w:rsidR="006D25FE">
        <w:rPr>
          <w:lang w:val="id-ID"/>
        </w:rPr>
        <w:fldChar w:fldCharType="separate"/>
      </w:r>
      <w:r w:rsidRPr="00B927A2" w:rsidR="00A1528E">
        <w:rPr>
          <w:noProof/>
          <w:lang w:val="id-ID"/>
        </w:rPr>
        <w:t>[24]</w:t>
      </w:r>
      <w:r w:rsidRPr="00B927A2" w:rsidR="006D25FE">
        <w:rPr>
          <w:lang w:val="id-ID"/>
        </w:rPr>
        <w:fldChar w:fldCharType="end"/>
      </w:r>
      <w:r w:rsidRPr="00B927A2">
        <w:rPr>
          <w:lang w:val="id-ID"/>
        </w:rPr>
        <w:t>.</w:t>
      </w:r>
    </w:p>
    <w:p w:rsidR="00063611" w:rsidRPr="00B927A2" w:rsidP="00547193" w14:paraId="52755AE9" w14:textId="0D9CA4F8">
      <w:pPr>
        <w:pStyle w:val="BodyText"/>
        <w:spacing w:line="275" w:lineRule="exact"/>
        <w:ind w:left="876"/>
      </w:pPr>
      <w:r w:rsidRPr="00B927A2">
        <w:t>.</w:t>
      </w:r>
    </w:p>
    <w:p w:rsidR="00063611" w:rsidRPr="00B927A2" w:rsidP="00547193" w14:paraId="1B91746D" w14:textId="77777777">
      <w:pPr>
        <w:pStyle w:val="Heading1"/>
        <w:numPr>
          <w:ilvl w:val="0"/>
          <w:numId w:val="1"/>
        </w:numPr>
        <w:tabs>
          <w:tab w:val="left" w:pos="448"/>
        </w:tabs>
        <w:ind w:left="448" w:hanging="283"/>
      </w:pPr>
      <w:r w:rsidRPr="00B927A2">
        <w:t>Hasil</w:t>
      </w:r>
      <w:r w:rsidRPr="00B927A2">
        <w:rPr>
          <w:spacing w:val="1"/>
        </w:rPr>
        <w:t xml:space="preserve"> </w:t>
      </w:r>
      <w:r w:rsidRPr="00B927A2">
        <w:t>dan</w:t>
      </w:r>
      <w:r w:rsidRPr="00B927A2">
        <w:rPr>
          <w:spacing w:val="-2"/>
        </w:rPr>
        <w:t xml:space="preserve"> Pembahasan</w:t>
      </w:r>
    </w:p>
    <w:p w:rsidR="00B278E6" w:rsidRPr="00B927A2" w:rsidP="00B278E6" w14:paraId="6683E8C7" w14:textId="3D23D0C5">
      <w:pPr>
        <w:spacing w:line="275" w:lineRule="exact"/>
        <w:ind w:left="142"/>
        <w:jc w:val="both"/>
        <w:rPr>
          <w:b/>
          <w:bCs/>
          <w:sz w:val="24"/>
          <w:szCs w:val="24"/>
          <w:lang w:val="id"/>
        </w:rPr>
      </w:pPr>
      <w:r w:rsidRPr="00B927A2">
        <w:rPr>
          <w:b/>
          <w:bCs/>
          <w:sz w:val="24"/>
          <w:szCs w:val="24"/>
          <w:lang w:val="id"/>
        </w:rPr>
        <w:t>3.1 Pengukuran Efisinsi</w:t>
      </w:r>
    </w:p>
    <w:p w:rsidR="000B3CF9" w:rsidRPr="00B927A2" w:rsidP="00547193" w14:paraId="0D82C57C" w14:textId="21697A42">
      <w:pPr>
        <w:spacing w:line="275" w:lineRule="exact"/>
        <w:ind w:left="142" w:firstLine="709"/>
        <w:jc w:val="both"/>
        <w:rPr>
          <w:sz w:val="24"/>
          <w:szCs w:val="24"/>
          <w:lang w:val="id"/>
        </w:rPr>
      </w:pPr>
      <w:r w:rsidRPr="00B927A2">
        <w:rPr>
          <w:sz w:val="24"/>
          <w:szCs w:val="24"/>
          <w:lang w:val="id"/>
        </w:rPr>
        <w:t xml:space="preserve">Pengukuran efisiensi termal dilakukan pada kompor yang menggunakan </w:t>
      </w:r>
      <w:r w:rsidRPr="00B927A2">
        <w:rPr>
          <w:i/>
          <w:iCs/>
          <w:sz w:val="24"/>
          <w:szCs w:val="24"/>
          <w:lang w:val="id"/>
        </w:rPr>
        <w:t>preheating</w:t>
      </w:r>
      <w:r w:rsidRPr="00B927A2">
        <w:rPr>
          <w:sz w:val="24"/>
          <w:szCs w:val="24"/>
          <w:lang w:val="id"/>
        </w:rPr>
        <w:t xml:space="preserve"> bahan bakar berbentuk cincin kombinasi spiral. Bahan bakar divariasikan, yaitu minyak goreng bekas, oli bekas, dan oli baru. Grafik hasil pengukuran efisiensi termal ditunjukkan pada Gambar 4.</w:t>
      </w:r>
    </w:p>
    <w:p w:rsidR="00B927A2" w:rsidP="000B3CF9" w14:paraId="28F341DB" w14:textId="008F486B">
      <w:pPr>
        <w:spacing w:before="117" w:line="275" w:lineRule="exact"/>
        <w:ind w:left="142" w:firstLine="709"/>
        <w:jc w:val="both"/>
        <w:rPr>
          <w:color w:val="0070C0"/>
          <w:sz w:val="24"/>
          <w:szCs w:val="24"/>
          <w:lang w:val="id"/>
        </w:rPr>
        <w:sectPr w:rsidSect="00B91EA3">
          <w:type w:val="continuous"/>
          <w:pgSz w:w="11910" w:h="16840"/>
          <w:pgMar w:top="1340" w:right="1133" w:bottom="980" w:left="1275" w:header="0" w:footer="788" w:gutter="0"/>
          <w:cols w:num="2" w:space="355"/>
        </w:sectPr>
      </w:pPr>
    </w:p>
    <w:p w:rsidR="00D9445A" w:rsidP="000B3CF9" w14:paraId="01AF7419" w14:textId="3118693D">
      <w:pPr>
        <w:spacing w:before="117" w:line="275" w:lineRule="exact"/>
        <w:ind w:left="142" w:firstLine="709"/>
        <w:jc w:val="both"/>
        <w:rPr>
          <w:color w:val="0070C0"/>
          <w:sz w:val="24"/>
          <w:szCs w:val="24"/>
          <w:lang w:val="id"/>
        </w:rPr>
      </w:pPr>
      <w:r>
        <w:rPr>
          <w:noProof/>
          <w:color w:val="0070C0"/>
          <w:sz w:val="24"/>
          <w:szCs w:val="24"/>
          <w:lang w:val="id"/>
        </w:rPr>
        <mc:AlternateContent>
          <mc:Choice Requires="wpg">
            <w:drawing>
              <wp:anchor distT="0" distB="0" distL="114300" distR="114300" simplePos="0" relativeHeight="251677696" behindDoc="0" locked="0" layoutInCell="1" allowOverlap="1">
                <wp:simplePos x="0" y="0"/>
                <wp:positionH relativeFrom="column">
                  <wp:posOffset>1187987</wp:posOffset>
                </wp:positionH>
                <wp:positionV relativeFrom="paragraph">
                  <wp:posOffset>133106</wp:posOffset>
                </wp:positionV>
                <wp:extent cx="3812345" cy="2546252"/>
                <wp:effectExtent l="0" t="0" r="0" b="6985"/>
                <wp:wrapNone/>
                <wp:docPr id="190314454" name="Group 69"/>
                <wp:cNvGraphicFramePr/>
                <a:graphic xmlns:a="http://schemas.openxmlformats.org/drawingml/2006/main">
                  <a:graphicData uri="http://schemas.microsoft.com/office/word/2010/wordprocessingGroup">
                    <wpg:wgp xmlns:wpg="http://schemas.microsoft.com/office/word/2010/wordprocessingGroup">
                      <wpg:cNvGrpSpPr/>
                      <wpg:grpSpPr>
                        <a:xfrm>
                          <a:off x="0" y="0"/>
                          <a:ext cx="3812345" cy="2546252"/>
                          <a:chOff x="0" y="0"/>
                          <a:chExt cx="3743909" cy="2432685"/>
                        </a:xfrm>
                      </wpg:grpSpPr>
                      <pic:pic xmlns:pic="http://schemas.openxmlformats.org/drawingml/2006/picture">
                        <pic:nvPicPr>
                          <pic:cNvPr id="262548148" name="Picture 68"/>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9510" cy="2432685"/>
                          </a:xfrm>
                          <a:prstGeom prst="rect">
                            <a:avLst/>
                          </a:prstGeom>
                          <a:noFill/>
                        </pic:spPr>
                      </pic:pic>
                      <wps:wsp xmlns:wps="http://schemas.microsoft.com/office/word/2010/wordprocessingShape">
                        <wps:cNvPr id="1544393426" name="Textbox 65"/>
                        <wps:cNvSpPr txBox="1"/>
                        <wps:spPr>
                          <a:xfrm>
                            <a:off x="3291840" y="2194560"/>
                            <a:ext cx="452069" cy="235390"/>
                          </a:xfrm>
                          <a:prstGeom prst="rect">
                            <a:avLst/>
                          </a:prstGeom>
                        </wps:spPr>
                        <wps:txbx>
                          <w:txbxContent>
                            <w:p w:rsidR="003B5BAC" w:rsidRPr="00547193" w:rsidP="003B5BAC" w14:textId="77777777">
                              <w:pPr>
                                <w:spacing w:line="180" w:lineRule="exact"/>
                                <w:jc w:val="center"/>
                                <w:rPr>
                                  <w:sz w:val="24"/>
                                  <w:szCs w:val="24"/>
                                </w:rPr>
                              </w:pPr>
                              <w:r w:rsidRPr="00547193">
                                <w:rPr>
                                  <w:color w:val="404040"/>
                                  <w:spacing w:val="-2"/>
                                  <w:sz w:val="24"/>
                                  <w:szCs w:val="24"/>
                                </w:rPr>
                                <w:t>(a)</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id="Group 69" o:spid="_x0000_s1037" style="width:300.2pt;height:200.5pt;margin-top:10.5pt;margin-left:93.55pt;mso-height-relative:margin;mso-width-relative:margin;position:absolute;z-index:251678720" coordsize="37439,24326">
                <v:shape id="Picture 68" o:spid="_x0000_s1038" type="#_x0000_t75" style="width:36995;height:24326;mso-wrap-style:square;position:absolute;visibility:visible">
                  <v:imagedata r:id="rId13" o:title=""/>
                </v:shape>
                <v:shape id="Textbox 65" o:spid="_x0000_s1039" type="#_x0000_t202" style="width:4521;height:2354;left:32918;mso-wrap-style:square;position:absolute;top:21945;v-text-anchor:top;visibility:visible" filled="f" stroked="f">
                  <v:textbox inset="0,0,0,0">
                    <w:txbxContent>
                      <w:p w:rsidR="003B5BAC" w:rsidRPr="00547193" w:rsidP="003B5BAC" w14:paraId="6C0DF242" w14:textId="77777777">
                        <w:pPr>
                          <w:spacing w:line="180" w:lineRule="exact"/>
                          <w:jc w:val="center"/>
                          <w:rPr>
                            <w:sz w:val="24"/>
                            <w:szCs w:val="24"/>
                          </w:rPr>
                        </w:pPr>
                        <w:r w:rsidRPr="00547193">
                          <w:rPr>
                            <w:color w:val="404040"/>
                            <w:spacing w:val="-2"/>
                            <w:sz w:val="24"/>
                            <w:szCs w:val="24"/>
                          </w:rPr>
                          <w:t>(a)</w:t>
                        </w:r>
                      </w:p>
                    </w:txbxContent>
                  </v:textbox>
                </v:shape>
              </v:group>
            </w:pict>
          </mc:Fallback>
        </mc:AlternateContent>
      </w:r>
    </w:p>
    <w:p w:rsidR="00D9445A" w:rsidP="000B3CF9" w14:paraId="51C17EB7" w14:textId="4B7F2EF7">
      <w:pPr>
        <w:spacing w:before="117" w:line="275" w:lineRule="exact"/>
        <w:ind w:left="142" w:firstLine="709"/>
        <w:jc w:val="both"/>
        <w:rPr>
          <w:color w:val="0070C0"/>
          <w:sz w:val="24"/>
          <w:szCs w:val="24"/>
          <w:lang w:val="id"/>
        </w:rPr>
      </w:pPr>
    </w:p>
    <w:p w:rsidR="003B5BAC" w:rsidP="00D9445A" w14:paraId="357773E2" w14:textId="77777777">
      <w:pPr>
        <w:spacing w:before="117" w:line="275" w:lineRule="exact"/>
        <w:ind w:left="142"/>
        <w:jc w:val="both"/>
        <w:rPr>
          <w:color w:val="0070C0"/>
          <w:sz w:val="24"/>
          <w:szCs w:val="24"/>
        </w:rPr>
      </w:pPr>
    </w:p>
    <w:p w:rsidR="003B5BAC" w:rsidP="00D9445A" w14:paraId="5EA55C05" w14:textId="4BCF31AF">
      <w:pPr>
        <w:spacing w:before="117" w:line="275" w:lineRule="exact"/>
        <w:ind w:left="142"/>
        <w:jc w:val="both"/>
        <w:rPr>
          <w:color w:val="0070C0"/>
          <w:sz w:val="24"/>
          <w:szCs w:val="24"/>
        </w:rPr>
      </w:pPr>
    </w:p>
    <w:p w:rsidR="003B5BAC" w:rsidP="00D9445A" w14:paraId="7DCA0179" w14:textId="7A531240">
      <w:pPr>
        <w:spacing w:before="117" w:line="275" w:lineRule="exact"/>
        <w:ind w:left="142"/>
        <w:jc w:val="both"/>
        <w:rPr>
          <w:color w:val="0070C0"/>
          <w:sz w:val="24"/>
          <w:szCs w:val="24"/>
        </w:rPr>
      </w:pPr>
    </w:p>
    <w:p w:rsidR="003B5BAC" w:rsidP="00D9445A" w14:paraId="3AC30E43" w14:textId="6675CA21">
      <w:pPr>
        <w:spacing w:before="117" w:line="275" w:lineRule="exact"/>
        <w:ind w:left="142"/>
        <w:jc w:val="both"/>
        <w:rPr>
          <w:color w:val="0070C0"/>
          <w:sz w:val="24"/>
          <w:szCs w:val="24"/>
        </w:rPr>
      </w:pPr>
    </w:p>
    <w:p w:rsidR="003B5BAC" w:rsidP="00D9445A" w14:paraId="6D17BB22" w14:textId="6D92E593">
      <w:pPr>
        <w:spacing w:before="117" w:line="275" w:lineRule="exact"/>
        <w:ind w:left="142"/>
        <w:jc w:val="both"/>
        <w:rPr>
          <w:color w:val="0070C0"/>
          <w:sz w:val="24"/>
          <w:szCs w:val="24"/>
        </w:rPr>
      </w:pPr>
    </w:p>
    <w:p w:rsidR="003B5BAC" w:rsidP="00D9445A" w14:paraId="4F74A119" w14:textId="252A99EA">
      <w:pPr>
        <w:spacing w:before="117" w:line="275" w:lineRule="exact"/>
        <w:ind w:left="142"/>
        <w:jc w:val="both"/>
        <w:rPr>
          <w:color w:val="0070C0"/>
          <w:sz w:val="24"/>
          <w:szCs w:val="24"/>
        </w:rPr>
      </w:pPr>
    </w:p>
    <w:p w:rsidR="003B5BAC" w:rsidP="00D9445A" w14:paraId="02E37429" w14:textId="2E41B155">
      <w:pPr>
        <w:spacing w:before="117" w:line="275" w:lineRule="exact"/>
        <w:ind w:left="142"/>
        <w:jc w:val="both"/>
        <w:rPr>
          <w:color w:val="0070C0"/>
          <w:sz w:val="24"/>
          <w:szCs w:val="24"/>
        </w:rPr>
      </w:pPr>
    </w:p>
    <w:p w:rsidR="003B5BAC" w:rsidP="00D9445A" w14:paraId="7AD5F354" w14:textId="71BA1313">
      <w:pPr>
        <w:spacing w:before="117" w:line="275" w:lineRule="exact"/>
        <w:ind w:left="142"/>
        <w:jc w:val="both"/>
        <w:rPr>
          <w:color w:val="0070C0"/>
          <w:sz w:val="24"/>
          <w:szCs w:val="24"/>
        </w:rPr>
      </w:pPr>
    </w:p>
    <w:p w:rsidR="003B5BAC" w:rsidP="00D9445A" w14:paraId="727F7492" w14:textId="77777777">
      <w:pPr>
        <w:spacing w:before="117" w:line="275" w:lineRule="exact"/>
        <w:ind w:left="142"/>
        <w:jc w:val="both"/>
        <w:rPr>
          <w:color w:val="0070C0"/>
          <w:sz w:val="24"/>
          <w:szCs w:val="24"/>
        </w:rPr>
      </w:pPr>
    </w:p>
    <w:p w:rsidR="00D9445A" w:rsidP="00D9445A" w14:paraId="3F151323" w14:textId="5865DA9B">
      <w:pPr>
        <w:spacing w:before="117" w:line="275" w:lineRule="exact"/>
        <w:ind w:left="142"/>
        <w:jc w:val="both"/>
        <w:rPr>
          <w:color w:val="0070C0"/>
          <w:sz w:val="24"/>
          <w:szCs w:val="24"/>
        </w:rPr>
      </w:pPr>
      <w:r>
        <w:rPr>
          <w:noProof/>
          <w:color w:val="0070C0"/>
          <w:sz w:val="24"/>
          <w:szCs w:val="24"/>
        </w:rPr>
        <w:drawing>
          <wp:anchor distT="0" distB="0" distL="114300" distR="114300" simplePos="0" relativeHeight="251679744" behindDoc="1" locked="0" layoutInCell="1" allowOverlap="1">
            <wp:simplePos x="0" y="0"/>
            <wp:positionH relativeFrom="margin">
              <wp:posOffset>758630</wp:posOffset>
            </wp:positionH>
            <wp:positionV relativeFrom="paragraph">
              <wp:posOffset>-6252</wp:posOffset>
            </wp:positionV>
            <wp:extent cx="4157003" cy="2900616"/>
            <wp:effectExtent l="0" t="0" r="0" b="0"/>
            <wp:wrapNone/>
            <wp:docPr id="143376990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69907" name="Picture 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7003" cy="2900616"/>
                    </a:xfrm>
                    <a:prstGeom prst="rect">
                      <a:avLst/>
                    </a:prstGeom>
                    <a:noFill/>
                  </pic:spPr>
                </pic:pic>
              </a:graphicData>
            </a:graphic>
            <wp14:sizeRelH relativeFrom="page">
              <wp14:pctWidth>0</wp14:pctWidth>
            </wp14:sizeRelH>
            <wp14:sizeRelV relativeFrom="page">
              <wp14:pctHeight>0</wp14:pctHeight>
            </wp14:sizeRelV>
          </wp:anchor>
        </w:drawing>
      </w:r>
    </w:p>
    <w:p w:rsidR="00B927A2" w:rsidP="00D9445A" w14:paraId="706DF5B8" w14:textId="309ED533">
      <w:pPr>
        <w:spacing w:before="117" w:line="275" w:lineRule="exact"/>
        <w:ind w:left="142"/>
        <w:jc w:val="both"/>
        <w:rPr>
          <w:color w:val="0070C0"/>
          <w:sz w:val="24"/>
          <w:szCs w:val="24"/>
        </w:rPr>
      </w:pPr>
    </w:p>
    <w:p w:rsidR="00B927A2" w:rsidP="00D9445A" w14:paraId="3CF9EBEF" w14:textId="13190C9B">
      <w:pPr>
        <w:spacing w:before="117" w:line="275" w:lineRule="exact"/>
        <w:ind w:left="142"/>
        <w:jc w:val="both"/>
        <w:rPr>
          <w:color w:val="0070C0"/>
          <w:sz w:val="24"/>
          <w:szCs w:val="24"/>
        </w:rPr>
      </w:pPr>
    </w:p>
    <w:p w:rsidR="00B927A2" w:rsidP="00D9445A" w14:paraId="6EB41A50" w14:textId="77777777">
      <w:pPr>
        <w:spacing w:before="117" w:line="275" w:lineRule="exact"/>
        <w:ind w:left="142"/>
        <w:jc w:val="both"/>
        <w:rPr>
          <w:color w:val="0070C0"/>
          <w:sz w:val="24"/>
          <w:szCs w:val="24"/>
        </w:rPr>
      </w:pPr>
    </w:p>
    <w:p w:rsidR="00B927A2" w:rsidP="00D9445A" w14:paraId="6F22CE97" w14:textId="2F1894A3">
      <w:pPr>
        <w:spacing w:before="117" w:line="275" w:lineRule="exact"/>
        <w:ind w:left="142"/>
        <w:jc w:val="both"/>
        <w:rPr>
          <w:color w:val="0070C0"/>
          <w:sz w:val="24"/>
          <w:szCs w:val="24"/>
        </w:rPr>
      </w:pPr>
    </w:p>
    <w:p w:rsidR="00B927A2" w:rsidP="00D9445A" w14:paraId="66F17089" w14:textId="29FC7785">
      <w:pPr>
        <w:spacing w:before="117" w:line="275" w:lineRule="exact"/>
        <w:ind w:left="142"/>
        <w:jc w:val="both"/>
        <w:rPr>
          <w:color w:val="0070C0"/>
          <w:sz w:val="24"/>
          <w:szCs w:val="24"/>
        </w:rPr>
      </w:pPr>
    </w:p>
    <w:p w:rsidR="00B927A2" w:rsidP="00D9445A" w14:paraId="1312C3FC" w14:textId="1D7053BC">
      <w:pPr>
        <w:spacing w:before="117" w:line="275" w:lineRule="exact"/>
        <w:ind w:left="142"/>
        <w:jc w:val="both"/>
        <w:rPr>
          <w:color w:val="0070C0"/>
          <w:sz w:val="24"/>
          <w:szCs w:val="24"/>
        </w:rPr>
      </w:pPr>
    </w:p>
    <w:p w:rsidR="00B927A2" w:rsidP="00D9445A" w14:paraId="4EAA40B7" w14:textId="08098BBC">
      <w:pPr>
        <w:spacing w:before="117" w:line="275" w:lineRule="exact"/>
        <w:ind w:left="142"/>
        <w:jc w:val="both"/>
        <w:rPr>
          <w:color w:val="0070C0"/>
          <w:sz w:val="24"/>
          <w:szCs w:val="24"/>
        </w:rPr>
      </w:pPr>
    </w:p>
    <w:p w:rsidR="00B927A2" w:rsidP="00D9445A" w14:paraId="2AE7C87C" w14:textId="77777777">
      <w:pPr>
        <w:spacing w:before="117" w:line="275" w:lineRule="exact"/>
        <w:ind w:left="142"/>
        <w:jc w:val="both"/>
        <w:rPr>
          <w:color w:val="0070C0"/>
          <w:sz w:val="24"/>
          <w:szCs w:val="24"/>
        </w:rPr>
      </w:pPr>
    </w:p>
    <w:p w:rsidR="00547193" w:rsidP="00D9445A" w14:paraId="157DDDF7" w14:textId="16640FA9">
      <w:pPr>
        <w:spacing w:before="117" w:line="275" w:lineRule="exact"/>
        <w:ind w:left="142"/>
        <w:jc w:val="both"/>
        <w:rPr>
          <w:color w:val="0070C0"/>
          <w:sz w:val="24"/>
          <w:szCs w:val="24"/>
        </w:rPr>
      </w:pPr>
    </w:p>
    <w:p w:rsidR="00547193" w:rsidP="00D9445A" w14:paraId="0D9CF3AB" w14:textId="3216DC85">
      <w:pPr>
        <w:spacing w:before="117" w:line="275" w:lineRule="exact"/>
        <w:ind w:left="142"/>
        <w:jc w:val="both"/>
        <w:rPr>
          <w:color w:val="0070C0"/>
          <w:sz w:val="24"/>
          <w:szCs w:val="24"/>
        </w:rPr>
      </w:pPr>
    </w:p>
    <w:p w:rsidR="00547193" w:rsidP="00D9445A" w14:paraId="06CF9C91" w14:textId="77777777">
      <w:pPr>
        <w:spacing w:before="117" w:line="275" w:lineRule="exact"/>
        <w:ind w:left="142"/>
        <w:jc w:val="both"/>
        <w:rPr>
          <w:color w:val="0070C0"/>
          <w:sz w:val="24"/>
          <w:szCs w:val="24"/>
        </w:rPr>
      </w:pPr>
    </w:p>
    <w:p w:rsidR="00D9445A" w:rsidRPr="00561662" w:rsidP="00E91260" w14:paraId="1620D4D5" w14:textId="65D72529">
      <w:pPr>
        <w:spacing w:before="117" w:line="275" w:lineRule="exact"/>
        <w:ind w:left="142"/>
        <w:jc w:val="center"/>
        <w:rPr>
          <w:sz w:val="24"/>
          <w:szCs w:val="24"/>
          <w:lang w:val="id"/>
        </w:rPr>
      </w:pPr>
      <w:bookmarkStart w:id="4" w:name="_Hlk194744236"/>
      <w:r w:rsidRPr="00561662">
        <w:rPr>
          <w:sz w:val="24"/>
          <w:szCs w:val="24"/>
        </w:rPr>
        <w:t xml:space="preserve">Gambar 4. </w:t>
      </w:r>
      <w:r w:rsidRPr="00561662" w:rsidR="00E91260">
        <w:rPr>
          <w:sz w:val="24"/>
          <w:szCs w:val="24"/>
        </w:rPr>
        <w:t xml:space="preserve">(a) Konsumsi bahan bakar dan produksi uap; (b) </w:t>
      </w:r>
      <w:r w:rsidRPr="00561662" w:rsidR="009F5A49">
        <w:rPr>
          <w:sz w:val="24"/>
          <w:szCs w:val="24"/>
        </w:rPr>
        <w:t>e</w:t>
      </w:r>
      <w:r w:rsidRPr="00561662" w:rsidR="00E91260">
        <w:rPr>
          <w:sz w:val="24"/>
          <w:szCs w:val="24"/>
        </w:rPr>
        <w:t xml:space="preserve">fisiensi </w:t>
      </w:r>
      <w:bookmarkEnd w:id="4"/>
      <w:r w:rsidRPr="00561662" w:rsidR="00E91260">
        <w:rPr>
          <w:sz w:val="24"/>
          <w:szCs w:val="24"/>
        </w:rPr>
        <w:t>termal</w:t>
      </w:r>
    </w:p>
    <w:p w:rsidR="00C14B39" w:rsidRPr="00561662" w:rsidP="000B3CF9" w14:paraId="3EF00AC0" w14:textId="77777777">
      <w:pPr>
        <w:spacing w:before="117" w:line="275" w:lineRule="exact"/>
        <w:ind w:left="142" w:firstLine="709"/>
        <w:jc w:val="both"/>
        <w:rPr>
          <w:sz w:val="24"/>
          <w:szCs w:val="24"/>
          <w:lang w:val="id"/>
        </w:rPr>
      </w:pPr>
    </w:p>
    <w:p w:rsidR="00C14B39" w:rsidRPr="00561662" w:rsidP="000B3CF9" w14:paraId="73BB4448" w14:textId="77777777">
      <w:pPr>
        <w:spacing w:before="117" w:line="275" w:lineRule="exact"/>
        <w:ind w:left="142" w:firstLine="709"/>
        <w:jc w:val="both"/>
        <w:rPr>
          <w:sz w:val="24"/>
          <w:szCs w:val="24"/>
          <w:lang w:val="id"/>
        </w:rPr>
        <w:sectPr w:rsidSect="00547193">
          <w:type w:val="continuous"/>
          <w:pgSz w:w="11910" w:h="16840"/>
          <w:pgMar w:top="1340" w:right="1133" w:bottom="980" w:left="1275" w:header="0" w:footer="788" w:gutter="0"/>
          <w:cols w:space="355"/>
        </w:sectPr>
      </w:pPr>
    </w:p>
    <w:p w:rsidR="00C14B39" w:rsidRPr="00561662" w:rsidP="00C14B39" w14:paraId="796CEC18" w14:textId="77777777">
      <w:pPr>
        <w:spacing w:before="117" w:line="275" w:lineRule="exact"/>
        <w:ind w:left="142" w:firstLine="709"/>
        <w:jc w:val="both"/>
        <w:rPr>
          <w:sz w:val="24"/>
          <w:szCs w:val="24"/>
          <w:lang w:val="id"/>
        </w:rPr>
      </w:pPr>
      <w:r w:rsidRPr="00561662">
        <w:rPr>
          <w:sz w:val="24"/>
          <w:szCs w:val="24"/>
          <w:lang w:val="id"/>
        </w:rPr>
        <w:t xml:space="preserve">Berdasarkan gambar 4, ditemukan bahwa </w:t>
      </w:r>
      <w:bookmarkStart w:id="5" w:name="_Hlk192106333"/>
      <w:r w:rsidRPr="00561662">
        <w:rPr>
          <w:sz w:val="24"/>
          <w:szCs w:val="24"/>
          <w:lang w:val="id"/>
        </w:rPr>
        <w:t xml:space="preserve">minyak goreng bekas </w:t>
      </w:r>
      <w:bookmarkEnd w:id="5"/>
      <w:r w:rsidRPr="00561662">
        <w:rPr>
          <w:sz w:val="24"/>
          <w:szCs w:val="24"/>
          <w:lang w:val="id"/>
        </w:rPr>
        <w:t xml:space="preserve">menunjukkan laju produksi uap 1,697 gr/s, yang relatif lebih rendah dibandingkan oli bekas dan oli baru. Laju konsumsi bahan bakar 0,213 gr/s, dan menghasilkan efisiensi 54,51%. Rendahnya efisiensi tersebut disebabkan oleh rendahnya nilai kalor minyak goreng bekas yang lebih rendah dibandingkan dengan jenis bahan bakar lainnya, yang secara signifikan memengaruhi produksi uap yang dihasilkan. Hal ini karena adanya kotoran dalam minyak goreng bekas yang dapat menyebabkan pembakaran tidak sempurna.   </w:t>
      </w:r>
    </w:p>
    <w:p w:rsidR="006C02BB" w:rsidP="00C14B39" w14:paraId="111CE974" w14:textId="77777777">
      <w:pPr>
        <w:spacing w:before="117" w:line="275" w:lineRule="exact"/>
        <w:ind w:left="142" w:firstLine="709"/>
        <w:jc w:val="both"/>
        <w:rPr>
          <w:sz w:val="24"/>
          <w:szCs w:val="24"/>
          <w:lang w:val="id"/>
        </w:rPr>
      </w:pPr>
      <w:r w:rsidRPr="00561662">
        <w:rPr>
          <w:sz w:val="24"/>
          <w:szCs w:val="24"/>
          <w:lang w:val="id"/>
        </w:rPr>
        <w:t xml:space="preserve">Oli </w:t>
      </w:r>
      <w:r w:rsidRPr="00561662" w:rsidR="009F5A49">
        <w:rPr>
          <w:sz w:val="24"/>
          <w:szCs w:val="24"/>
          <w:lang w:val="id"/>
        </w:rPr>
        <w:t>b</w:t>
      </w:r>
      <w:r w:rsidRPr="00561662">
        <w:rPr>
          <w:sz w:val="24"/>
          <w:szCs w:val="24"/>
          <w:lang w:val="id"/>
        </w:rPr>
        <w:t>ekas, menghasilkan laju produksi uap 1,881 gr/s dan konsumsi bahan bakar 0,228 gr/s, yang menghasilkan efisiensi yang lebih tinggi dibandingkan minyak goreng bekas, yaitu 55,52%. Peningkatan produksi uap terjadi karena kualitas oli bekas yang relatif lebih tinggi dibandingkan dengan minyak goreng bekas, karena umumnya mengandung lebih sedikit kontaminan. Penggunaan oli bekas tersebut, meskipun masih belum seefisien oli baru, menunjukkan efisiensi yang lebih tinggi karena berkurangnya kehilangan energi selama pembakaran. Hal ini menunjukkan bahwa transisi dari minyak goreng bekas ke oli bekas dapat menghasilkan peningkatan efisiensi, yang menunjukkan peningkatan performa</w:t>
      </w:r>
      <w:r w:rsidRPr="00561662" w:rsidR="009F5A49">
        <w:rPr>
          <w:sz w:val="24"/>
          <w:szCs w:val="24"/>
          <w:lang w:val="id"/>
        </w:rPr>
        <w:t xml:space="preserve"> </w:t>
      </w:r>
    </w:p>
    <w:p w:rsidR="00C14B39" w:rsidRPr="00561662" w:rsidP="00C14B39" w14:paraId="2E8BEC63" w14:textId="226ED638">
      <w:pPr>
        <w:spacing w:before="117" w:line="275" w:lineRule="exact"/>
        <w:ind w:left="142" w:firstLine="709"/>
        <w:jc w:val="both"/>
        <w:rPr>
          <w:sz w:val="24"/>
          <w:szCs w:val="24"/>
          <w:lang w:val="id"/>
        </w:rPr>
      </w:pPr>
      <w:r w:rsidRPr="00561662">
        <w:rPr>
          <w:sz w:val="24"/>
          <w:szCs w:val="24"/>
          <w:lang w:val="id"/>
        </w:rPr>
        <w:fldChar w:fldCharType="begin" w:fldLock="1"/>
      </w:r>
      <w:r w:rsidRPr="00561662" w:rsidR="00A1528E">
        <w:rPr>
          <w:sz w:val="24"/>
          <w:szCs w:val="24"/>
          <w:lang w:val="id"/>
        </w:rPr>
        <w:instrText>ADDIN CSL_CITATION {"citationItems":[{"id":"ITEM-1","itemData":{"DOI":"10.3390/pr11051406","ISSN":"22279717","abstract":"Flue gas is composed of N2 and CO2, and is often used as an auxiliary agent for oil displacement, with good results and very promising development prospects for co-injection with steam to develop heavy oil. Although research on the oil displacement mechanism of flue gas has been carried out for many years, the flow characteristics of steam under the action of flue gas have rarely been discussed. In this paper, the flow resistance and heat transfer effect of flue gas/flue gas + steam were evaluated by using a one-dimensional sandpack, a flue gas-assisted steam flooding experiment was carried out using a specially customized microscopic visualization model, and the microscopic flow characteristics in the process of the co-injection of flue gas and steam were observed and analyzed. The results showed that flue gas could improve the heat transfer effect of steam whilst accelerating the flow of steam in porous media and reducing the flow resistance of steam. Compared with pure steam, when the volume ratio of flue gas and steam was 1:2, the mobility decreased by 2.8 and the outlet temperature of the sandpack increased by 35 °C. This trend intensified with an increase in the proportion of flue gas. In the microscopic oil displacement experiments, the oil recovery and sweep efficiency of the flue gas and steam co-injection stage increased by 4.7% and 32.9%, respectively, compared with the pure steam injection stage due to the effective utilization of blocky remaining oil and corner remaining oil caused by the expansion of fluid channels, the flow of flue gas foam, and the dissolution and release of flue gas in heavy oil.","author":[{"dropping-particle":"","family":"Ji","given":"Yanmin","non-dropping-particle":"","parse-names":false,"suffix":""},{"dropping-particle":"","family":"Li","given":"Boliang","non-dropping-particle":"","parse-names":false,"suffix":""},{"dropping-particle":"","family":"Han","given":"Zongyuan","non-dropping-particle":"","parse-names":false,"suffix":""},{"dropping-particle":"","family":"Wang","given":"Jian","non-dropping-particle":"","parse-names":false,"suffix":""},{"dropping-particle":"","family":"Li","given":"Zhaomin","non-dropping-particle":"","parse-names":false,"suffix":""},{"dropping-particle":"","family":"Li","given":"Binfei","non-dropping-particle":"","parse-names":false,"suffix":""}],"container-title":"Processes","id":"ITEM-1","issue":"5","issued":{"date-parts":[["2023"]]},"title":"Study on Flow Characteristics of Flue Gas and Steam Co-Injection for Heavy Oil Recovery","type":"article-journal","volume":"11"},"uris":["http://www.mendeley.com/documents/?uuid=abec357b-356d-45fd-8ea2-355c8f9b9bdc"]}],"mendeley":{"formattedCitation":"[25]","plainTextFormattedCitation":"[25]","previouslyFormattedCitation":"(Ji et al., 2023)"},"properties":{"noteIndex":0},"schema":"https://github.com/citation-style-language/schema/raw/master/csl-citation.json"}</w:instrText>
      </w:r>
      <w:r w:rsidRPr="00561662">
        <w:rPr>
          <w:sz w:val="24"/>
          <w:szCs w:val="24"/>
          <w:lang w:val="id"/>
        </w:rPr>
        <w:fldChar w:fldCharType="separate"/>
      </w:r>
      <w:r w:rsidRPr="00561662" w:rsidR="00A1528E">
        <w:rPr>
          <w:noProof/>
          <w:sz w:val="24"/>
          <w:szCs w:val="24"/>
          <w:lang w:val="id"/>
        </w:rPr>
        <w:t>[25]</w:t>
      </w:r>
      <w:r w:rsidRPr="00561662">
        <w:rPr>
          <w:sz w:val="24"/>
          <w:szCs w:val="24"/>
          <w:lang w:val="id"/>
        </w:rPr>
        <w:fldChar w:fldCharType="end"/>
      </w:r>
      <w:r w:rsidRPr="00561662">
        <w:rPr>
          <w:sz w:val="24"/>
          <w:szCs w:val="24"/>
          <w:lang w:val="id"/>
        </w:rPr>
        <w:t>-</w:t>
      </w:r>
      <w:r w:rsidRPr="00561662">
        <w:rPr>
          <w:sz w:val="24"/>
          <w:szCs w:val="24"/>
          <w:lang w:val="id"/>
        </w:rPr>
        <w:fldChar w:fldCharType="begin" w:fldLock="1"/>
      </w:r>
      <w:r w:rsidRPr="00561662" w:rsidR="00A1528E">
        <w:rPr>
          <w:sz w:val="24"/>
          <w:szCs w:val="24"/>
          <w:lang w:val="id"/>
        </w:rPr>
        <w:instrText>ADDIN CSL_CITATION {"citationItems":[{"id":"ITEM-1","itemData":{"DOI":"10.2118/00-08-tn","ISSN":"00219487","abstract":"Hilda Lake is a Steam Assisted Gravity Drainage (SAGD) project. The Mahkeses project is an expansion of the Imperial Oil Resources Limited commercial Cold Lake project based on Cyclic Steam Stimulation (CSS). Both projects are being implemented in the same Clearwater reservoir and will be adjacent to each other at the lease boundary. The projected performance of CSS at Mahkeses as given in the Alberta Energy Board Application for Approval is compared with the predicted and actual performance of SAGD at Hilda Lake. Parameters to be compared include: production rates, steam requirements, electrical power requirements, projected recovery factors, and produced water quality.","author":[{"dropping-particle":"","family":"Donnelly","given":"John K.","non-dropping-particle":"","parse-names":false,"suffix":""}],"container-title":"Journal of Canadian Petroleum Technology","id":"ITEM-1","issue":"8","issued":{"date-parts":[["2000"]]},"page":"5-7","title":"Best process for Cold Lake: CSS vs. SAGD","type":"article-journal","volume":"39"},"uris":["http://www.mendeley.com/documents/?uuid=acbecaf5-2086-4df5-9f4a-8cd9c735721a"]}],"mendeley":{"formattedCitation":"[26]","plainTextFormattedCitation":"[26]","previouslyFormattedCitation":"(Donnelly, 2000)"},"properties":{"noteIndex":0},"schema":"https://github.com/citation-style-language/schema/raw/master/csl-citation.json"}</w:instrText>
      </w:r>
      <w:r w:rsidRPr="00561662">
        <w:rPr>
          <w:sz w:val="24"/>
          <w:szCs w:val="24"/>
          <w:lang w:val="id"/>
        </w:rPr>
        <w:fldChar w:fldCharType="separate"/>
      </w:r>
      <w:r w:rsidRPr="00561662" w:rsidR="00A1528E">
        <w:rPr>
          <w:noProof/>
          <w:sz w:val="24"/>
          <w:szCs w:val="24"/>
          <w:lang w:val="id"/>
        </w:rPr>
        <w:t>[26]</w:t>
      </w:r>
      <w:r w:rsidRPr="00561662">
        <w:rPr>
          <w:sz w:val="24"/>
          <w:szCs w:val="24"/>
          <w:lang w:val="id"/>
        </w:rPr>
        <w:fldChar w:fldCharType="end"/>
      </w:r>
      <w:r w:rsidRPr="00561662">
        <w:rPr>
          <w:sz w:val="24"/>
          <w:szCs w:val="24"/>
          <w:lang w:val="id"/>
        </w:rPr>
        <w:t xml:space="preserve">. </w:t>
      </w:r>
    </w:p>
    <w:p w:rsidR="00C14B39" w:rsidRPr="00C14B39" w:rsidP="00B278E6" w14:paraId="27096698" w14:textId="43234F2D">
      <w:pPr>
        <w:spacing w:after="120" w:line="275" w:lineRule="exact"/>
        <w:ind w:left="142" w:firstLine="709"/>
        <w:jc w:val="both"/>
        <w:rPr>
          <w:color w:val="0070C0"/>
          <w:sz w:val="24"/>
          <w:szCs w:val="24"/>
          <w:lang w:val="id"/>
        </w:rPr>
      </w:pPr>
      <w:r w:rsidRPr="00561662">
        <w:rPr>
          <w:sz w:val="24"/>
          <w:szCs w:val="24"/>
          <w:lang w:val="id"/>
        </w:rPr>
        <w:t xml:space="preserve">Oli baru menunjukkan laju produksi uap tertinggi sebesar 1,946 gr/s dengan sedikit </w:t>
      </w:r>
      <w:r w:rsidRPr="006E3103">
        <w:rPr>
          <w:sz w:val="24"/>
          <w:szCs w:val="24"/>
          <w:lang w:val="id"/>
        </w:rPr>
        <w:t>peningkatan konsumsi bahan bakar sebesar 0,001 gr/s, menghasilkan efisiensi tertinggi 56,16%. Performa optimal ini disebabkan oleh kemurnian oli baru yang lebih tinggi dan karakteristik pembakaran yang konsisten, menghasilkan pembakaran lebih bersih serta transfer energi termal yang optimal. Selain itu, peningkatan kualitas bahan bakar berbanding lurus dengan kemampuan sistem dalam mengubah energi kimia menjadi energi termal untuk memproduksi uap</w:t>
      </w:r>
      <w:r w:rsidR="006E3103">
        <w:rPr>
          <w:sz w:val="24"/>
          <w:szCs w:val="24"/>
          <w:lang w:val="id"/>
        </w:rPr>
        <w:t xml:space="preserve"> </w:t>
      </w:r>
      <w:r w:rsidR="006E3103">
        <w:rPr>
          <w:sz w:val="24"/>
          <w:szCs w:val="24"/>
          <w:lang w:val="id"/>
        </w:rPr>
        <w:fldChar w:fldCharType="begin" w:fldLock="1"/>
      </w:r>
      <w:r w:rsidR="00A1528E">
        <w:rPr>
          <w:sz w:val="24"/>
          <w:szCs w:val="24"/>
          <w:lang w:val="id"/>
        </w:rPr>
        <w:instrText>ADDIN CSL_CITATION {"citationItems":[{"id":"ITEM-1","itemData":{"DOI":"10.2118/165383-ms","ISBN":"9781627486286","abstract":"Steam flooding and stimulation processes have proven to be the most promising method for commercial in situ recovery of heavy oil. For high quality and thick oil reservoirs, these processes can achieve oil recovery of over 30% OOIP. However, for thin, deep and offshore oil reservoirs, they are uneconomic due to excessive heat loss to overburden and great requirement to heat the reservoir rock. A new process, Steam and Multiple Fluids (SMF), is being developed to improve efficiency of the steam stimulation process for offshore heavy oil reservoirs. It involves the addition of non-condensable gases to the injected steam. Injected gases accumulate in the region away from the well and lower the temperature. Only the region's temperature near the well is close to the temperature of steam. Heat loss to the overburden and the heat requirement to heat reservoir rock can be significantly reduced due to the lower temperature requirement. Considerable saving can be achieved from reduction in quantity of steam required for the process. This process is studied by using laboratory experiments and numerical simulations via a 3D thermal model for an offshore heavy oilfield. The results show that, compared to the cold production and standard steam stimulation processes, the oil rate from SMF is the highest. The application of this process makes production of offshore heavy oil economic and should extend the range of reservoirs that can be produced economically. A pilot test for calibrating this new process is reported. Copyright 2013, Society of Petroleum Engineers.","author":[{"dropping-particle":"","family":"Xu","given":"Wenjiang","non-dropping-particle":"","parse-names":false,"suffix":""},{"dropping-particle":"","family":"Chen","given":"Zhangxing","non-dropping-particle":"","parse-names":false,"suffix":""},{"dropping-particle":"","family":"Shan","given":"Jincheng","non-dropping-particle":"","parse-names":false,"suffix":""},{"dropping-particle":"","family":"Sun","given":"Yongtao","non-dropping-particle":"","parse-names":false,"suffix":""}],"container-title":"Society of Petroleum Engineers - SPE Heavy Oil Conference Canada 2013","id":"ITEM-1","issue":"March 2010","issued":{"date-parts":[["2013"]]},"page":"1-15","title":"Studies and pilot project on steam stimulation with multiple fluids for offshore heavy oil reservoirs","type":"article-journal","volume":"1"},"uris":["http://www.mendeley.com/documents/?uuid=08df0785-f8a0-4be1-a22e-759a339b3574"]}],"mendeley":{"formattedCitation":"[27]","plainTextFormattedCitation":"[27]","previouslyFormattedCitation":"(Xu et al., 2013)"},"properties":{"noteIndex":0},"schema":"https://github.com/citation-style-language/schema/raw/master/csl-citation.json"}</w:instrText>
      </w:r>
      <w:r w:rsidR="006E3103">
        <w:rPr>
          <w:sz w:val="24"/>
          <w:szCs w:val="24"/>
          <w:lang w:val="id"/>
        </w:rPr>
        <w:fldChar w:fldCharType="separate"/>
      </w:r>
      <w:r w:rsidRPr="00A1528E" w:rsidR="00A1528E">
        <w:rPr>
          <w:noProof/>
          <w:sz w:val="24"/>
          <w:szCs w:val="24"/>
          <w:lang w:val="id"/>
        </w:rPr>
        <w:t>[27]</w:t>
      </w:r>
      <w:r w:rsidR="006E3103">
        <w:rPr>
          <w:sz w:val="24"/>
          <w:szCs w:val="24"/>
          <w:lang w:val="id"/>
        </w:rPr>
        <w:fldChar w:fldCharType="end"/>
      </w:r>
      <w:r w:rsidR="006E3103">
        <w:rPr>
          <w:sz w:val="24"/>
          <w:szCs w:val="24"/>
          <w:lang w:val="id"/>
        </w:rPr>
        <w:t>-</w:t>
      </w:r>
      <w:r w:rsidR="006E3103">
        <w:rPr>
          <w:sz w:val="24"/>
          <w:szCs w:val="24"/>
          <w:lang w:val="id"/>
        </w:rPr>
        <w:fldChar w:fldCharType="begin" w:fldLock="1"/>
      </w:r>
      <w:r w:rsidR="00A1528E">
        <w:rPr>
          <w:sz w:val="24"/>
          <w:szCs w:val="24"/>
          <w:lang w:val="id"/>
        </w:rPr>
        <w:instrText>ADDIN CSL_CITATION {"citationItems":[{"id":"ITEM-1","itemData":{"DOI":"10.1007/s13202-012-0027-9","ISSN":"21900558","abstract":"Steam flooding as a tertiary recovery method for recovery of oil from heavy oil reservoir has been of interest in recent years. Analytical models are very useful to predict oil recovery by steam flooding for preliminary forecasting purposes and sensitivity studies. Though different models are available, the predicted values did not satisfy the field value because of presumptions. In the present study, an attempt has been made to modify the existing Jeff Jones model and Chandra and Mamora model by considering the true profile of steam zone size in reservoir and vertical sweep efficiency for calculation of capture efficiency. The reservoir characteristics and production data of three oil fields, viz., Schoonebeek in the eastern part of Netherlands, San Ardo in Monterey County, California, USA and Hamaca in Venezuela's Orinoco heavy oil belt were analyzed for performance prediction of oil production. The modified model gave very satisfactory results for production performance, compared to the original Jeff Jones and Chandra and Mamora model. © 2012 The Author(s).","author":[{"dropping-particle":"","family":"Dutt","given":"Ankit","non-dropping-particle":"","parse-names":false,"suffix":""},{"dropping-particle":"","family":"Mandal","given":"Ajay","non-dropping-particle":"","parse-names":false,"suffix":""}],"container-title":"Journal of Petroleum Exploration and Production Technology","id":"ITEM-1","issue":"3","issued":{"date-parts":[["2012"]]},"page":"117-123","title":"Modified analytical model for prediction of steam flood performance","type":"article-journal","volume":"2"},"uris":["http://www.mendeley.com/documents/?uuid=b363a069-2a78-4443-9df3-f308daf60072"]}],"mendeley":{"formattedCitation":"[28]","plainTextFormattedCitation":"[28]","previouslyFormattedCitation":"(Dutt &amp; Mandal, 2012)"},"properties":{"noteIndex":0},"schema":"https://github.com/citation-style-language/schema/raw/master/csl-citation.json"}</w:instrText>
      </w:r>
      <w:r w:rsidR="006E3103">
        <w:rPr>
          <w:sz w:val="24"/>
          <w:szCs w:val="24"/>
          <w:lang w:val="id"/>
        </w:rPr>
        <w:fldChar w:fldCharType="separate"/>
      </w:r>
      <w:r w:rsidRPr="00A1528E" w:rsidR="00A1528E">
        <w:rPr>
          <w:noProof/>
          <w:sz w:val="24"/>
          <w:szCs w:val="24"/>
          <w:lang w:val="id"/>
        </w:rPr>
        <w:t>[28]</w:t>
      </w:r>
      <w:r w:rsidR="006E3103">
        <w:rPr>
          <w:sz w:val="24"/>
          <w:szCs w:val="24"/>
          <w:lang w:val="id"/>
        </w:rPr>
        <w:fldChar w:fldCharType="end"/>
      </w:r>
      <w:r w:rsidR="006E3103">
        <w:rPr>
          <w:sz w:val="24"/>
          <w:szCs w:val="24"/>
          <w:lang w:val="id"/>
        </w:rPr>
        <w:t>.</w:t>
      </w:r>
    </w:p>
    <w:p w:rsidR="00B278E6" w:rsidRPr="00650E17" w:rsidP="00B278E6" w14:paraId="38FBE465" w14:textId="1411BC99">
      <w:pPr>
        <w:spacing w:line="275" w:lineRule="exact"/>
        <w:ind w:left="142"/>
        <w:jc w:val="both"/>
        <w:rPr>
          <w:b/>
          <w:bCs/>
          <w:sz w:val="24"/>
          <w:szCs w:val="24"/>
          <w:lang w:val="id"/>
        </w:rPr>
      </w:pPr>
      <w:r w:rsidRPr="00650E17">
        <w:rPr>
          <w:b/>
          <w:bCs/>
          <w:sz w:val="24"/>
          <w:szCs w:val="24"/>
          <w:lang w:val="id"/>
        </w:rPr>
        <w:t>3.2 Pengukuran Distribusi Temperatur</w:t>
      </w:r>
    </w:p>
    <w:p w:rsidR="00571A75" w:rsidP="00B278E6" w14:paraId="0E1750B5" w14:textId="77777777">
      <w:pPr>
        <w:spacing w:before="117" w:line="275" w:lineRule="exact"/>
        <w:ind w:left="142" w:firstLine="709"/>
        <w:jc w:val="both"/>
        <w:rPr>
          <w:sz w:val="24"/>
          <w:szCs w:val="24"/>
          <w:lang w:val="id"/>
        </w:rPr>
      </w:pPr>
      <w:r w:rsidRPr="00650E17">
        <w:rPr>
          <w:sz w:val="24"/>
          <w:szCs w:val="24"/>
          <w:lang w:val="id"/>
        </w:rPr>
        <w:t xml:space="preserve">Pengukuran ini dilakukan untuk mengetahui kontur distribusi temperatur api sebagai efek dari penggunaan bahan bakar yang berbeda. Berdasarkan hasil pengukuran dan dengan menggunakan Aplikasi </w:t>
      </w:r>
      <w:r w:rsidRPr="00650E17">
        <w:rPr>
          <w:i/>
          <w:iCs/>
          <w:sz w:val="24"/>
          <w:szCs w:val="24"/>
          <w:lang w:val="id"/>
        </w:rPr>
        <w:t>Matlab</w:t>
      </w:r>
      <w:r w:rsidRPr="00650E17">
        <w:rPr>
          <w:sz w:val="24"/>
          <w:szCs w:val="24"/>
          <w:lang w:val="id"/>
        </w:rPr>
        <w:t xml:space="preserve">, diperoleh kontur distribusi temperatur api pada masing-masing variasi bahan bakar sebagaimana </w:t>
      </w:r>
      <w:r w:rsidRPr="00650E17" w:rsidR="00B33285">
        <w:rPr>
          <w:sz w:val="24"/>
          <w:szCs w:val="24"/>
          <w:lang w:val="id"/>
        </w:rPr>
        <w:t>ditunjukkan pada gambar 5.</w:t>
      </w:r>
    </w:p>
    <w:p w:rsidR="006C02BB" w:rsidP="00B278E6" w14:paraId="579C2759" w14:textId="77777777">
      <w:pPr>
        <w:spacing w:before="117" w:line="275" w:lineRule="exact"/>
        <w:ind w:left="142" w:firstLine="709"/>
        <w:jc w:val="both"/>
        <w:rPr>
          <w:sz w:val="24"/>
          <w:szCs w:val="24"/>
          <w:lang w:val="id"/>
        </w:rPr>
      </w:pPr>
    </w:p>
    <w:p w:rsidR="006C02BB" w:rsidP="00B278E6" w14:paraId="02223867" w14:textId="77777777">
      <w:pPr>
        <w:spacing w:before="117" w:line="275" w:lineRule="exact"/>
        <w:ind w:left="142" w:firstLine="709"/>
        <w:jc w:val="both"/>
        <w:rPr>
          <w:sz w:val="24"/>
          <w:szCs w:val="24"/>
          <w:lang w:val="id"/>
        </w:rPr>
      </w:pPr>
    </w:p>
    <w:p w:rsidR="006C02BB" w:rsidP="00B278E6" w14:paraId="585C03DE" w14:textId="77777777">
      <w:pPr>
        <w:spacing w:before="117" w:line="275" w:lineRule="exact"/>
        <w:ind w:left="142" w:firstLine="709"/>
        <w:jc w:val="both"/>
        <w:rPr>
          <w:sz w:val="24"/>
          <w:szCs w:val="24"/>
          <w:lang w:val="id"/>
        </w:rPr>
      </w:pPr>
    </w:p>
    <w:p w:rsidR="006C02BB" w:rsidP="00B278E6" w14:paraId="5F148AB8" w14:textId="77777777">
      <w:pPr>
        <w:spacing w:before="117" w:line="275" w:lineRule="exact"/>
        <w:ind w:left="142" w:firstLine="709"/>
        <w:jc w:val="both"/>
        <w:rPr>
          <w:sz w:val="24"/>
          <w:szCs w:val="24"/>
          <w:lang w:val="id"/>
        </w:rPr>
      </w:pPr>
    </w:p>
    <w:p w:rsidR="006C02BB" w:rsidP="00B278E6" w14:paraId="41001450" w14:textId="77777777">
      <w:pPr>
        <w:spacing w:before="117" w:line="275" w:lineRule="exact"/>
        <w:ind w:left="142" w:firstLine="709"/>
        <w:jc w:val="both"/>
        <w:rPr>
          <w:sz w:val="24"/>
          <w:szCs w:val="24"/>
          <w:lang w:val="id"/>
        </w:rPr>
      </w:pPr>
    </w:p>
    <w:p w:rsidR="006C02BB" w:rsidRPr="00650E17" w:rsidP="00B278E6" w14:paraId="33FD94C7" w14:textId="77777777">
      <w:pPr>
        <w:spacing w:before="117" w:line="275" w:lineRule="exact"/>
        <w:ind w:left="142" w:firstLine="709"/>
        <w:jc w:val="both"/>
        <w:rPr>
          <w:sz w:val="24"/>
          <w:szCs w:val="24"/>
          <w:lang w:val="id"/>
        </w:rPr>
        <w:sectPr w:rsidSect="00571A75">
          <w:type w:val="continuous"/>
          <w:pgSz w:w="11910" w:h="16840"/>
          <w:pgMar w:top="1340" w:right="1133" w:bottom="980" w:left="1275" w:header="0" w:footer="788" w:gutter="0"/>
          <w:cols w:num="2" w:space="355"/>
        </w:sectPr>
      </w:pPr>
    </w:p>
    <w:p w:rsidR="00B278E6" w:rsidP="00B278E6" w14:paraId="53853B7F" w14:textId="69A02FE1">
      <w:pPr>
        <w:spacing w:before="117" w:line="275" w:lineRule="exact"/>
        <w:ind w:left="142" w:firstLine="709"/>
        <w:jc w:val="both"/>
        <w:rPr>
          <w:color w:val="0070C0"/>
          <w:sz w:val="24"/>
          <w:szCs w:val="24"/>
          <w:lang w:val="id"/>
        </w:rPr>
      </w:pPr>
      <w:r>
        <w:rPr>
          <w:noProof/>
        </w:rPr>
        <w:drawing>
          <wp:anchor distT="0" distB="0" distL="114300" distR="114300" simplePos="0" relativeHeight="251674624" behindDoc="1" locked="0" layoutInCell="1" allowOverlap="1">
            <wp:simplePos x="0" y="0"/>
            <wp:positionH relativeFrom="column">
              <wp:posOffset>590110</wp:posOffset>
            </wp:positionH>
            <wp:positionV relativeFrom="paragraph">
              <wp:posOffset>126805</wp:posOffset>
            </wp:positionV>
            <wp:extent cx="4521561" cy="1631022"/>
            <wp:effectExtent l="0" t="0" r="0" b="7620"/>
            <wp:wrapNone/>
            <wp:docPr id="141323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35857" name=""/>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0512" cy="1634251"/>
                    </a:xfrm>
                    <a:prstGeom prst="rect">
                      <a:avLst/>
                    </a:prstGeom>
                  </pic:spPr>
                </pic:pic>
              </a:graphicData>
            </a:graphic>
            <wp14:sizeRelH relativeFrom="page">
              <wp14:pctWidth>0</wp14:pctWidth>
            </wp14:sizeRelH>
            <wp14:sizeRelV relativeFrom="page">
              <wp14:pctHeight>0</wp14:pctHeight>
            </wp14:sizeRelV>
          </wp:anchor>
        </w:drawing>
      </w:r>
    </w:p>
    <w:p w:rsidR="00B33285" w:rsidP="00B278E6" w14:paraId="12327699" w14:textId="77777777">
      <w:pPr>
        <w:spacing w:before="117" w:line="275" w:lineRule="exact"/>
        <w:ind w:left="142" w:firstLine="709"/>
        <w:jc w:val="both"/>
        <w:rPr>
          <w:color w:val="0070C0"/>
          <w:sz w:val="24"/>
          <w:szCs w:val="24"/>
          <w:lang w:val="id"/>
        </w:rPr>
      </w:pPr>
    </w:p>
    <w:p w:rsidR="00B33285" w:rsidP="00B278E6" w14:paraId="5732C225" w14:textId="1C2530C3">
      <w:pPr>
        <w:spacing w:before="117" w:line="275" w:lineRule="exact"/>
        <w:ind w:left="142" w:firstLine="709"/>
        <w:jc w:val="both"/>
        <w:rPr>
          <w:color w:val="0070C0"/>
          <w:sz w:val="24"/>
          <w:szCs w:val="24"/>
          <w:lang w:val="id"/>
        </w:rPr>
      </w:pPr>
    </w:p>
    <w:p w:rsidR="00B33285" w:rsidP="00DD78B2" w14:paraId="670D7567" w14:textId="2C7DE667">
      <w:pPr>
        <w:tabs>
          <w:tab w:val="left" w:pos="3700"/>
        </w:tabs>
        <w:spacing w:before="117" w:line="275" w:lineRule="exact"/>
        <w:ind w:left="142" w:firstLine="709"/>
        <w:jc w:val="both"/>
        <w:rPr>
          <w:color w:val="0070C0"/>
          <w:sz w:val="24"/>
          <w:szCs w:val="24"/>
          <w:lang w:val="id"/>
        </w:rPr>
      </w:pPr>
      <w:r>
        <w:rPr>
          <w:color w:val="0070C0"/>
          <w:sz w:val="24"/>
          <w:szCs w:val="24"/>
          <w:lang w:val="id"/>
        </w:rPr>
        <w:tab/>
      </w:r>
    </w:p>
    <w:p w:rsidR="00B33285" w:rsidP="00B278E6" w14:paraId="50F334C9" w14:textId="0F807459">
      <w:pPr>
        <w:spacing w:before="117" w:line="275" w:lineRule="exact"/>
        <w:ind w:left="142" w:firstLine="709"/>
        <w:jc w:val="both"/>
        <w:rPr>
          <w:color w:val="0070C0"/>
          <w:sz w:val="24"/>
          <w:szCs w:val="24"/>
          <w:lang w:val="id"/>
        </w:rPr>
      </w:pPr>
    </w:p>
    <w:p w:rsidR="00B33285" w:rsidP="00B278E6" w14:paraId="4F2EE8C6" w14:textId="4DFC3680">
      <w:pPr>
        <w:spacing w:before="117" w:line="275" w:lineRule="exact"/>
        <w:ind w:left="142" w:firstLine="709"/>
        <w:jc w:val="both"/>
        <w:rPr>
          <w:color w:val="0070C0"/>
          <w:sz w:val="24"/>
          <w:szCs w:val="24"/>
          <w:lang w:val="id"/>
        </w:rPr>
      </w:pPr>
      <w:r>
        <w:rPr>
          <w:noProof/>
          <w:color w:val="0070C0"/>
          <w:sz w:val="24"/>
          <w:szCs w:val="24"/>
          <w:lang w:val="id"/>
        </w:rPr>
        <mc:AlternateContent>
          <mc:Choice Requires="wps">
            <w:drawing>
              <wp:anchor distT="0" distB="0" distL="114300" distR="114300" simplePos="0" relativeHeight="251660288" behindDoc="0" locked="0" layoutInCell="1" allowOverlap="1">
                <wp:simplePos x="0" y="0"/>
                <wp:positionH relativeFrom="column">
                  <wp:posOffset>5175299</wp:posOffset>
                </wp:positionH>
                <wp:positionV relativeFrom="paragraph">
                  <wp:posOffset>21053</wp:posOffset>
                </wp:positionV>
                <wp:extent cx="478155" cy="274320"/>
                <wp:effectExtent l="0" t="0" r="0" b="0"/>
                <wp:wrapNone/>
                <wp:docPr id="1200282084" name="Text Box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155" cy="274320"/>
                        </a:xfrm>
                        <a:prstGeom prst="rect">
                          <a:avLst/>
                        </a:prstGeom>
                        <a:solidFill>
                          <a:schemeClr val="lt1"/>
                        </a:solidFill>
                        <a:ln w="6350">
                          <a:noFill/>
                        </a:ln>
                      </wps:spPr>
                      <wps:txbx>
                        <w:txbxContent>
                          <w:p w:rsidR="00DD78B2" w:rsidRPr="00DD78B2" w14:textId="159D62B3">
                            <w:pPr>
                              <w:rPr>
                                <w:sz w:val="24"/>
                                <w:szCs w:val="24"/>
                              </w:rPr>
                            </w:pPr>
                            <w:r w:rsidRPr="00DD78B2">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61" o:spid="_x0000_s1040" type="#_x0000_t202" style="width:37.65pt;height:21.6pt;margin-top:1.65pt;margin-left:407.5pt;mso-wrap-distance-bottom:0;mso-wrap-distance-left:9pt;mso-wrap-distance-right:9pt;mso-wrap-distance-top:0;mso-wrap-style:square;position:absolute;v-text-anchor:top;visibility:visible;z-index:251661312" fillcolor="white" stroked="f" strokeweight="0.5pt">
                <v:textbox>
                  <w:txbxContent>
                    <w:p w:rsidR="00DD78B2" w:rsidRPr="00DD78B2" w14:paraId="08554E5B" w14:textId="159D62B3">
                      <w:pPr>
                        <w:rPr>
                          <w:sz w:val="24"/>
                          <w:szCs w:val="24"/>
                        </w:rPr>
                      </w:pPr>
                      <w:r w:rsidRPr="00DD78B2">
                        <w:rPr>
                          <w:sz w:val="24"/>
                          <w:szCs w:val="24"/>
                        </w:rPr>
                        <w:t>(a)</w:t>
                      </w:r>
                    </w:p>
                  </w:txbxContent>
                </v:textbox>
              </v:shape>
            </w:pict>
          </mc:Fallback>
        </mc:AlternateContent>
      </w:r>
    </w:p>
    <w:p w:rsidR="00571A75" w:rsidP="00B278E6" w14:paraId="227DEE87" w14:textId="03B88A1D">
      <w:pPr>
        <w:spacing w:before="117" w:line="275" w:lineRule="exact"/>
        <w:ind w:left="142" w:firstLine="709"/>
        <w:jc w:val="both"/>
        <w:rPr>
          <w:color w:val="0070C0"/>
          <w:sz w:val="24"/>
          <w:szCs w:val="24"/>
          <w:lang w:val="id"/>
        </w:rPr>
      </w:pPr>
    </w:p>
    <w:p w:rsidR="00B33285" w:rsidP="00B278E6" w14:paraId="5693BCDA" w14:textId="565C1237">
      <w:pPr>
        <w:spacing w:before="117" w:line="275" w:lineRule="exact"/>
        <w:ind w:left="142" w:firstLine="709"/>
        <w:jc w:val="both"/>
        <w:rPr>
          <w:color w:val="0070C0"/>
          <w:sz w:val="24"/>
          <w:szCs w:val="24"/>
          <w:lang w:val="id"/>
        </w:rPr>
      </w:pPr>
      <w:r w:rsidRPr="00DD78B2">
        <w:rPr>
          <w:rFonts w:ascii="Calibri" w:eastAsia="Calibri" w:hAnsi="Calibri"/>
          <w:noProof/>
          <w:kern w:val="2"/>
          <w14:ligatures w14:val="standardContextual"/>
        </w:rPr>
        <w:drawing>
          <wp:anchor distT="0" distB="0" distL="114300" distR="114300" simplePos="0" relativeHeight="251658240" behindDoc="1" locked="0" layoutInCell="1" allowOverlap="1">
            <wp:simplePos x="0" y="0"/>
            <wp:positionH relativeFrom="column">
              <wp:posOffset>610431</wp:posOffset>
            </wp:positionH>
            <wp:positionV relativeFrom="paragraph">
              <wp:posOffset>114104</wp:posOffset>
            </wp:positionV>
            <wp:extent cx="4593102" cy="1611021"/>
            <wp:effectExtent l="0" t="0" r="0" b="8255"/>
            <wp:wrapNone/>
            <wp:docPr id="129072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24824"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3102" cy="1611021"/>
                    </a:xfrm>
                    <a:prstGeom prst="rect">
                      <a:avLst/>
                    </a:prstGeom>
                  </pic:spPr>
                </pic:pic>
              </a:graphicData>
            </a:graphic>
            <wp14:sizeRelH relativeFrom="page">
              <wp14:pctWidth>0</wp14:pctWidth>
            </wp14:sizeRelH>
            <wp14:sizeRelV relativeFrom="page">
              <wp14:pctHeight>0</wp14:pctHeight>
            </wp14:sizeRelV>
          </wp:anchor>
        </w:drawing>
      </w:r>
    </w:p>
    <w:p w:rsidR="00B33285" w:rsidP="00B278E6" w14:paraId="0D92E743" w14:textId="44731FD9">
      <w:pPr>
        <w:spacing w:before="117" w:line="275" w:lineRule="exact"/>
        <w:ind w:left="142" w:firstLine="709"/>
        <w:jc w:val="both"/>
        <w:rPr>
          <w:color w:val="0070C0"/>
          <w:sz w:val="24"/>
          <w:szCs w:val="24"/>
          <w:lang w:val="id"/>
        </w:rPr>
      </w:pPr>
    </w:p>
    <w:p w:rsidR="00B33285" w:rsidP="00B278E6" w14:paraId="4922A2CE" w14:textId="0F554C48">
      <w:pPr>
        <w:spacing w:before="117" w:line="275" w:lineRule="exact"/>
        <w:ind w:left="142" w:firstLine="709"/>
        <w:jc w:val="both"/>
        <w:rPr>
          <w:color w:val="0070C0"/>
          <w:sz w:val="24"/>
          <w:szCs w:val="24"/>
          <w:lang w:val="id"/>
        </w:rPr>
      </w:pPr>
    </w:p>
    <w:p w:rsidR="00B33285" w:rsidP="00B278E6" w14:paraId="51521D78" w14:textId="0F1E7175">
      <w:pPr>
        <w:spacing w:before="117" w:line="275" w:lineRule="exact"/>
        <w:ind w:left="142" w:firstLine="709"/>
        <w:jc w:val="both"/>
        <w:rPr>
          <w:color w:val="0070C0"/>
          <w:sz w:val="24"/>
          <w:szCs w:val="24"/>
          <w:lang w:val="id"/>
        </w:rPr>
      </w:pPr>
    </w:p>
    <w:p w:rsidR="00B33285" w:rsidP="00B278E6" w14:paraId="270F8022" w14:textId="77777777">
      <w:pPr>
        <w:spacing w:before="117" w:line="275" w:lineRule="exact"/>
        <w:ind w:left="142" w:firstLine="709"/>
        <w:jc w:val="both"/>
        <w:rPr>
          <w:color w:val="0070C0"/>
          <w:sz w:val="24"/>
          <w:szCs w:val="24"/>
          <w:lang w:val="id"/>
        </w:rPr>
      </w:pPr>
    </w:p>
    <w:p w:rsidR="00571A75" w:rsidP="00B278E6" w14:paraId="39CDAE66" w14:textId="2E2015C2">
      <w:pPr>
        <w:spacing w:before="117" w:line="275" w:lineRule="exact"/>
        <w:ind w:left="142" w:firstLine="709"/>
        <w:jc w:val="both"/>
        <w:rPr>
          <w:color w:val="0070C0"/>
          <w:sz w:val="24"/>
          <w:szCs w:val="24"/>
          <w:lang w:val="id"/>
        </w:rPr>
      </w:pPr>
      <w:r>
        <w:rPr>
          <w:noProof/>
          <w:color w:val="0070C0"/>
          <w:sz w:val="24"/>
          <w:szCs w:val="24"/>
          <w:lang w:val="id"/>
        </w:rPr>
        <mc:AlternateContent>
          <mc:Choice Requires="wps">
            <w:drawing>
              <wp:anchor distT="0" distB="0" distL="114300" distR="114300" simplePos="0" relativeHeight="251662336" behindDoc="0" locked="0" layoutInCell="1" allowOverlap="1">
                <wp:simplePos x="0" y="0"/>
                <wp:positionH relativeFrom="column">
                  <wp:posOffset>5219114</wp:posOffset>
                </wp:positionH>
                <wp:positionV relativeFrom="paragraph">
                  <wp:posOffset>70339</wp:posOffset>
                </wp:positionV>
                <wp:extent cx="478155" cy="274320"/>
                <wp:effectExtent l="0" t="0" r="0" b="0"/>
                <wp:wrapNone/>
                <wp:docPr id="748133250" name="Text Box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155" cy="274320"/>
                        </a:xfrm>
                        <a:prstGeom prst="rect">
                          <a:avLst/>
                        </a:prstGeom>
                        <a:solidFill>
                          <a:sysClr val="window" lastClr="FFFFFF"/>
                        </a:solidFill>
                        <a:ln w="6350">
                          <a:noFill/>
                        </a:ln>
                      </wps:spPr>
                      <wps:txbx>
                        <w:txbxContent>
                          <w:p w:rsidR="00DD78B2" w:rsidRPr="00DD78B2" w:rsidP="00DD78B2" w14:textId="5DBEBADB">
                            <w:pPr>
                              <w:rPr>
                                <w:sz w:val="24"/>
                                <w:szCs w:val="24"/>
                              </w:rPr>
                            </w:pPr>
                            <w:r w:rsidRPr="00DD78B2">
                              <w:rPr>
                                <w:sz w:val="24"/>
                                <w:szCs w:val="24"/>
                              </w:rPr>
                              <w:t>(</w:t>
                            </w:r>
                            <w:r>
                              <w:rPr>
                                <w:sz w:val="24"/>
                                <w:szCs w:val="24"/>
                              </w:rPr>
                              <w:t>b</w:t>
                            </w:r>
                            <w:r w:rsidRPr="00DD78B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_x0000_s1041" type="#_x0000_t202" style="width:37.65pt;height:21.6pt;margin-top:5.55pt;margin-left:410.95pt;mso-wrap-distance-bottom:0;mso-wrap-distance-left:9pt;mso-wrap-distance-right:9pt;mso-wrap-distance-top:0;mso-wrap-style:square;position:absolute;v-text-anchor:top;visibility:visible;z-index:251663360" fillcolor="window" stroked="f" strokeweight="0.5pt">
                <v:textbox>
                  <w:txbxContent>
                    <w:p w:rsidR="00DD78B2" w:rsidRPr="00DD78B2" w:rsidP="00DD78B2" w14:paraId="1420F115" w14:textId="5DBEBADB">
                      <w:pPr>
                        <w:rPr>
                          <w:sz w:val="24"/>
                          <w:szCs w:val="24"/>
                        </w:rPr>
                      </w:pPr>
                      <w:r w:rsidRPr="00DD78B2">
                        <w:rPr>
                          <w:sz w:val="24"/>
                          <w:szCs w:val="24"/>
                        </w:rPr>
                        <w:t>(</w:t>
                      </w:r>
                      <w:r>
                        <w:rPr>
                          <w:sz w:val="24"/>
                          <w:szCs w:val="24"/>
                        </w:rPr>
                        <w:t>b</w:t>
                      </w:r>
                      <w:r w:rsidRPr="00DD78B2">
                        <w:rPr>
                          <w:sz w:val="24"/>
                          <w:szCs w:val="24"/>
                        </w:rPr>
                        <w:t>)</w:t>
                      </w:r>
                    </w:p>
                  </w:txbxContent>
                </v:textbox>
              </v:shape>
            </w:pict>
          </mc:Fallback>
        </mc:AlternateContent>
      </w:r>
    </w:p>
    <w:p w:rsidR="00571A75" w:rsidP="00B278E6" w14:paraId="3AE88740" w14:textId="502B7479">
      <w:pPr>
        <w:spacing w:before="117" w:line="275" w:lineRule="exact"/>
        <w:ind w:left="142" w:firstLine="709"/>
        <w:jc w:val="both"/>
        <w:rPr>
          <w:color w:val="0070C0"/>
          <w:sz w:val="24"/>
          <w:szCs w:val="24"/>
          <w:lang w:val="id"/>
        </w:rPr>
      </w:pPr>
    </w:p>
    <w:p w:rsidR="00571A75" w:rsidP="00B278E6" w14:paraId="6AC780B5" w14:textId="60C3BE16">
      <w:pPr>
        <w:spacing w:before="117" w:line="275" w:lineRule="exact"/>
        <w:ind w:left="142" w:firstLine="709"/>
        <w:jc w:val="both"/>
        <w:rPr>
          <w:color w:val="0070C0"/>
          <w:sz w:val="24"/>
          <w:szCs w:val="24"/>
          <w:lang w:val="id"/>
        </w:rPr>
      </w:pPr>
      <w:r w:rsidRPr="00DD78B2">
        <w:rPr>
          <w:rFonts w:ascii="Calibri" w:eastAsia="Calibri" w:hAnsi="Calibri"/>
          <w:noProof/>
          <w:kern w:val="2"/>
          <w14:ligatures w14:val="standardContextual"/>
        </w:rPr>
        <w:drawing>
          <wp:anchor distT="0" distB="0" distL="114300" distR="114300" simplePos="0" relativeHeight="251659264" behindDoc="1" locked="0" layoutInCell="1" allowOverlap="1">
            <wp:simplePos x="0" y="0"/>
            <wp:positionH relativeFrom="column">
              <wp:posOffset>644769</wp:posOffset>
            </wp:positionH>
            <wp:positionV relativeFrom="paragraph">
              <wp:posOffset>207596</wp:posOffset>
            </wp:positionV>
            <wp:extent cx="4465955" cy="1831340"/>
            <wp:effectExtent l="0" t="0" r="0" b="0"/>
            <wp:wrapNone/>
            <wp:docPr id="205048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1292" name=""/>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65955" cy="1831340"/>
                    </a:xfrm>
                    <a:prstGeom prst="rect">
                      <a:avLst/>
                    </a:prstGeom>
                  </pic:spPr>
                </pic:pic>
              </a:graphicData>
            </a:graphic>
            <wp14:sizeRelH relativeFrom="page">
              <wp14:pctWidth>0</wp14:pctWidth>
            </wp14:sizeRelH>
            <wp14:sizeRelV relativeFrom="page">
              <wp14:pctHeight>0</wp14:pctHeight>
            </wp14:sizeRelV>
          </wp:anchor>
        </w:drawing>
      </w:r>
    </w:p>
    <w:p w:rsidR="00571A75" w:rsidP="00B278E6" w14:paraId="0C9F35E5" w14:textId="0E04948E">
      <w:pPr>
        <w:spacing w:before="117" w:line="275" w:lineRule="exact"/>
        <w:ind w:left="142" w:firstLine="709"/>
        <w:jc w:val="both"/>
        <w:rPr>
          <w:color w:val="0070C0"/>
          <w:sz w:val="24"/>
          <w:szCs w:val="24"/>
          <w:lang w:val="id"/>
        </w:rPr>
      </w:pPr>
    </w:p>
    <w:p w:rsidR="00571A75" w:rsidP="00B278E6" w14:paraId="76AF1A5B" w14:textId="64C06A63">
      <w:pPr>
        <w:spacing w:before="117" w:line="275" w:lineRule="exact"/>
        <w:ind w:left="142" w:firstLine="709"/>
        <w:jc w:val="both"/>
        <w:rPr>
          <w:color w:val="0070C0"/>
          <w:sz w:val="24"/>
          <w:szCs w:val="24"/>
          <w:lang w:val="id"/>
        </w:rPr>
      </w:pPr>
    </w:p>
    <w:p w:rsidR="00571A75" w:rsidP="00B278E6" w14:paraId="45136C88" w14:textId="089CAF3F">
      <w:pPr>
        <w:spacing w:before="117" w:line="275" w:lineRule="exact"/>
        <w:ind w:left="142" w:firstLine="709"/>
        <w:jc w:val="both"/>
        <w:rPr>
          <w:color w:val="0070C0"/>
          <w:sz w:val="24"/>
          <w:szCs w:val="24"/>
          <w:lang w:val="id"/>
        </w:rPr>
      </w:pPr>
    </w:p>
    <w:p w:rsidR="00571A75" w:rsidP="00B278E6" w14:paraId="0E5081C2" w14:textId="717F184E">
      <w:pPr>
        <w:spacing w:before="117" w:line="275" w:lineRule="exact"/>
        <w:ind w:left="142" w:firstLine="709"/>
        <w:jc w:val="both"/>
        <w:rPr>
          <w:color w:val="0070C0"/>
          <w:sz w:val="24"/>
          <w:szCs w:val="24"/>
          <w:lang w:val="id"/>
        </w:rPr>
      </w:pPr>
    </w:p>
    <w:p w:rsidR="00571A75" w:rsidP="00B278E6" w14:paraId="1770236E" w14:textId="33D44E50">
      <w:pPr>
        <w:spacing w:before="117" w:line="275" w:lineRule="exact"/>
        <w:ind w:left="142" w:firstLine="709"/>
        <w:jc w:val="both"/>
        <w:rPr>
          <w:color w:val="0070C0"/>
          <w:sz w:val="24"/>
          <w:szCs w:val="24"/>
          <w:lang w:val="id"/>
        </w:rPr>
      </w:pPr>
      <w:r>
        <w:rPr>
          <w:noProof/>
          <w:color w:val="0070C0"/>
          <w:sz w:val="24"/>
          <w:szCs w:val="24"/>
          <w:lang w:val="id"/>
        </w:rPr>
        <mc:AlternateContent>
          <mc:Choice Requires="wps">
            <w:drawing>
              <wp:anchor distT="0" distB="0" distL="114300" distR="114300" simplePos="0" relativeHeight="251665408" behindDoc="0" locked="0" layoutInCell="1" allowOverlap="1">
                <wp:simplePos x="0" y="0"/>
                <wp:positionH relativeFrom="column">
                  <wp:posOffset>5268351</wp:posOffset>
                </wp:positionH>
                <wp:positionV relativeFrom="paragraph">
                  <wp:posOffset>95738</wp:posOffset>
                </wp:positionV>
                <wp:extent cx="478155" cy="274320"/>
                <wp:effectExtent l="0" t="0" r="0" b="0"/>
                <wp:wrapNone/>
                <wp:docPr id="837013276" name="Text Box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155" cy="274320"/>
                        </a:xfrm>
                        <a:prstGeom prst="rect">
                          <a:avLst/>
                        </a:prstGeom>
                        <a:solidFill>
                          <a:sysClr val="window" lastClr="FFFFFF"/>
                        </a:solidFill>
                        <a:ln w="6350">
                          <a:noFill/>
                        </a:ln>
                      </wps:spPr>
                      <wps:txbx>
                        <w:txbxContent>
                          <w:p w:rsidR="00DD78B2" w:rsidRPr="00DD78B2" w:rsidP="00DD78B2" w14:textId="457C9D5D">
                            <w:pPr>
                              <w:rPr>
                                <w:sz w:val="24"/>
                                <w:szCs w:val="24"/>
                              </w:rPr>
                            </w:pPr>
                            <w:r w:rsidRPr="00DD78B2">
                              <w:rPr>
                                <w:sz w:val="24"/>
                                <w:szCs w:val="24"/>
                              </w:rPr>
                              <w:t>(</w:t>
                            </w:r>
                            <w:r>
                              <w:rPr>
                                <w:sz w:val="24"/>
                                <w:szCs w:val="24"/>
                              </w:rPr>
                              <w:t>c</w:t>
                            </w:r>
                            <w:r w:rsidRPr="00DD78B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_x0000_s1042" type="#_x0000_t202" style="width:37.65pt;height:21.6pt;margin-top:7.55pt;margin-left:414.85pt;mso-wrap-distance-bottom:0;mso-wrap-distance-left:9pt;mso-wrap-distance-right:9pt;mso-wrap-distance-top:0;mso-wrap-style:square;position:absolute;v-text-anchor:top;visibility:visible;z-index:251666432" fillcolor="window" stroked="f" strokeweight="0.5pt">
                <v:textbox>
                  <w:txbxContent>
                    <w:p w:rsidR="00DD78B2" w:rsidRPr="00DD78B2" w:rsidP="00DD78B2" w14:paraId="3763C4A8" w14:textId="457C9D5D">
                      <w:pPr>
                        <w:rPr>
                          <w:sz w:val="24"/>
                          <w:szCs w:val="24"/>
                        </w:rPr>
                      </w:pPr>
                      <w:r w:rsidRPr="00DD78B2">
                        <w:rPr>
                          <w:sz w:val="24"/>
                          <w:szCs w:val="24"/>
                        </w:rPr>
                        <w:t>(</w:t>
                      </w:r>
                      <w:r>
                        <w:rPr>
                          <w:sz w:val="24"/>
                          <w:szCs w:val="24"/>
                        </w:rPr>
                        <w:t>c</w:t>
                      </w:r>
                      <w:r w:rsidRPr="00DD78B2">
                        <w:rPr>
                          <w:sz w:val="24"/>
                          <w:szCs w:val="24"/>
                        </w:rPr>
                        <w:t>)</w:t>
                      </w:r>
                    </w:p>
                  </w:txbxContent>
                </v:textbox>
              </v:shape>
            </w:pict>
          </mc:Fallback>
        </mc:AlternateContent>
      </w:r>
    </w:p>
    <w:p w:rsidR="00571A75" w:rsidP="00B278E6" w14:paraId="4CA9597C" w14:textId="3DF3326A">
      <w:pPr>
        <w:spacing w:before="117" w:line="275" w:lineRule="exact"/>
        <w:ind w:left="142" w:firstLine="709"/>
        <w:jc w:val="both"/>
        <w:rPr>
          <w:color w:val="0070C0"/>
          <w:sz w:val="24"/>
          <w:szCs w:val="24"/>
          <w:lang w:val="id"/>
        </w:rPr>
      </w:pPr>
    </w:p>
    <w:p w:rsidR="00571A75" w:rsidP="00B278E6" w14:paraId="40180767" w14:textId="4DDDA3E6">
      <w:pPr>
        <w:spacing w:before="117" w:line="275" w:lineRule="exact"/>
        <w:ind w:left="142" w:firstLine="709"/>
        <w:jc w:val="both"/>
        <w:rPr>
          <w:color w:val="0070C0"/>
          <w:sz w:val="24"/>
          <w:szCs w:val="24"/>
          <w:lang w:val="id"/>
        </w:rPr>
      </w:pPr>
    </w:p>
    <w:p w:rsidR="00DD78B2" w:rsidP="00571A75" w14:paraId="20730A6B" w14:textId="77777777">
      <w:pPr>
        <w:spacing w:before="117" w:line="275" w:lineRule="exact"/>
        <w:ind w:left="142" w:firstLine="709"/>
        <w:jc w:val="center"/>
        <w:rPr>
          <w:color w:val="0070C0"/>
          <w:sz w:val="24"/>
          <w:szCs w:val="24"/>
        </w:rPr>
      </w:pPr>
    </w:p>
    <w:p w:rsidR="00571A75" w:rsidRPr="00650E17" w:rsidP="00DD78B2" w14:paraId="23D9C2C3" w14:textId="58ADD937">
      <w:pPr>
        <w:ind w:left="142" w:firstLine="709"/>
        <w:jc w:val="center"/>
        <w:rPr>
          <w:sz w:val="24"/>
          <w:szCs w:val="24"/>
          <w:lang w:val="id"/>
        </w:rPr>
      </w:pPr>
      <w:r w:rsidRPr="00650E17">
        <w:rPr>
          <w:sz w:val="24"/>
          <w:szCs w:val="24"/>
        </w:rPr>
        <w:t xml:space="preserve">Gambar 5. </w:t>
      </w:r>
      <w:r w:rsidRPr="00650E17">
        <w:rPr>
          <w:sz w:val="24"/>
          <w:szCs w:val="24"/>
          <w:lang w:val="id"/>
        </w:rPr>
        <w:t>Distribusi temperatur api pada kompor dengan variasi bahan bakar:</w:t>
      </w:r>
    </w:p>
    <w:p w:rsidR="00571A75" w:rsidP="00DD78B2" w14:paraId="4E02C138" w14:textId="0AA50836">
      <w:pPr>
        <w:ind w:left="142" w:firstLine="709"/>
        <w:jc w:val="center"/>
        <w:rPr>
          <w:sz w:val="24"/>
          <w:szCs w:val="24"/>
          <w:lang w:val="id"/>
        </w:rPr>
      </w:pPr>
      <w:r w:rsidRPr="00571A75">
        <w:rPr>
          <w:sz w:val="24"/>
          <w:szCs w:val="24"/>
          <w:lang w:val="id"/>
        </w:rPr>
        <w:t xml:space="preserve">(a) </w:t>
      </w:r>
      <w:r w:rsidRPr="00650E17" w:rsidR="006243ED">
        <w:rPr>
          <w:sz w:val="24"/>
          <w:szCs w:val="24"/>
          <w:lang w:val="id"/>
        </w:rPr>
        <w:t>m</w:t>
      </w:r>
      <w:r w:rsidRPr="00571A75">
        <w:rPr>
          <w:sz w:val="24"/>
          <w:szCs w:val="24"/>
          <w:lang w:val="id"/>
        </w:rPr>
        <w:t xml:space="preserve">inyak </w:t>
      </w:r>
      <w:r w:rsidRPr="00650E17">
        <w:rPr>
          <w:sz w:val="24"/>
          <w:szCs w:val="24"/>
          <w:lang w:val="id"/>
        </w:rPr>
        <w:t>goreng bekas;</w:t>
      </w:r>
      <w:r w:rsidRPr="00571A75">
        <w:rPr>
          <w:sz w:val="24"/>
          <w:szCs w:val="24"/>
          <w:lang w:val="id"/>
        </w:rPr>
        <w:t xml:space="preserve"> (b) </w:t>
      </w:r>
      <w:r w:rsidRPr="00650E17" w:rsidR="006243ED">
        <w:rPr>
          <w:sz w:val="24"/>
          <w:szCs w:val="24"/>
          <w:lang w:val="id"/>
        </w:rPr>
        <w:t>o</w:t>
      </w:r>
      <w:r w:rsidRPr="00571A75">
        <w:rPr>
          <w:sz w:val="24"/>
          <w:szCs w:val="24"/>
          <w:lang w:val="id"/>
        </w:rPr>
        <w:t xml:space="preserve">li </w:t>
      </w:r>
      <w:r w:rsidRPr="00650E17" w:rsidR="006243ED">
        <w:rPr>
          <w:sz w:val="24"/>
          <w:szCs w:val="24"/>
          <w:lang w:val="id"/>
        </w:rPr>
        <w:t>b</w:t>
      </w:r>
      <w:r w:rsidRPr="00571A75">
        <w:rPr>
          <w:sz w:val="24"/>
          <w:szCs w:val="24"/>
          <w:lang w:val="id"/>
        </w:rPr>
        <w:t>ekas</w:t>
      </w:r>
      <w:r w:rsidRPr="00650E17">
        <w:rPr>
          <w:sz w:val="24"/>
          <w:szCs w:val="24"/>
          <w:lang w:val="id"/>
        </w:rPr>
        <w:t>;</w:t>
      </w:r>
      <w:r w:rsidRPr="00571A75">
        <w:rPr>
          <w:sz w:val="24"/>
          <w:szCs w:val="24"/>
          <w:lang w:val="id"/>
        </w:rPr>
        <w:t xml:space="preserve"> (c) </w:t>
      </w:r>
      <w:r w:rsidRPr="00650E17" w:rsidR="006243ED">
        <w:rPr>
          <w:sz w:val="24"/>
          <w:szCs w:val="24"/>
          <w:lang w:val="id"/>
        </w:rPr>
        <w:t>o</w:t>
      </w:r>
      <w:r w:rsidRPr="00571A75">
        <w:rPr>
          <w:sz w:val="24"/>
          <w:szCs w:val="24"/>
          <w:lang w:val="id"/>
        </w:rPr>
        <w:t>li baru</w:t>
      </w:r>
    </w:p>
    <w:p w:rsidR="006C02BB" w:rsidP="00DD78B2" w14:paraId="0D12D81D" w14:textId="77777777">
      <w:pPr>
        <w:ind w:left="142" w:firstLine="709"/>
        <w:jc w:val="center"/>
        <w:rPr>
          <w:sz w:val="24"/>
          <w:szCs w:val="24"/>
          <w:lang w:val="id"/>
        </w:rPr>
      </w:pPr>
    </w:p>
    <w:p w:rsidR="006C02BB" w:rsidP="00DD78B2" w14:paraId="2AB53239" w14:textId="77777777">
      <w:pPr>
        <w:ind w:left="142" w:firstLine="709"/>
        <w:jc w:val="center"/>
        <w:rPr>
          <w:sz w:val="24"/>
          <w:szCs w:val="24"/>
          <w:lang w:val="id"/>
        </w:rPr>
        <w:sectPr w:rsidSect="00571A75">
          <w:type w:val="continuous"/>
          <w:pgSz w:w="11910" w:h="16840"/>
          <w:pgMar w:top="1340" w:right="1133" w:bottom="980" w:left="1275" w:header="0" w:footer="788" w:gutter="0"/>
          <w:cols w:space="355"/>
        </w:sectPr>
      </w:pPr>
    </w:p>
    <w:p w:rsidR="00DD78B2" w:rsidRPr="000F7367" w:rsidP="00DD78B2" w14:paraId="79B7ABEB" w14:textId="57C41287">
      <w:pPr>
        <w:spacing w:before="117" w:line="275" w:lineRule="exact"/>
        <w:ind w:left="142" w:firstLine="709"/>
        <w:jc w:val="both"/>
        <w:rPr>
          <w:sz w:val="24"/>
          <w:szCs w:val="24"/>
          <w:lang w:val="id-ID"/>
        </w:rPr>
      </w:pPr>
      <w:r w:rsidRPr="000F7367">
        <w:rPr>
          <w:sz w:val="24"/>
          <w:szCs w:val="24"/>
          <w:lang w:val="id-ID"/>
        </w:rPr>
        <w:t xml:space="preserve">Berdasarkan gambar 5, </w:t>
      </w:r>
      <w:r w:rsidRPr="000F7367">
        <w:rPr>
          <w:sz w:val="24"/>
          <w:szCs w:val="24"/>
          <w:lang w:val="id-ID"/>
        </w:rPr>
        <w:t xml:space="preserve">dari tiga jenis bahan bakar yaitu minyak goreng bekas, oli bekas, dan oli baru, dapat dilihat adanya perbedaan signifikan dalam performa termal masing-masing bahan. Temperatur tertinggi untuk minyak goreng bekas tercatat sebesar 1071°C, yang ditemukan pada baris ke-5 titik 30 mm. Untuk oli bekas, temperatur maksimum sebesar 1077°C, berada pada baris ke-5 titik 25 mm. Sedangkan oli baru menunjukkan performa termal tertinggi dengan temperatur maksimum mencapai 1094°C, tercatat pada baris ke-6 titik 25 mm. Hal ini menunjukkan bahwa oli baru memiliki kapasitas tahan panas tertinggi dibandingkan dua bahan lainnya, sehingga </w:t>
      </w:r>
      <w:r w:rsidRPr="000F7367">
        <w:rPr>
          <w:sz w:val="24"/>
          <w:szCs w:val="24"/>
          <w:lang w:val="id-ID"/>
        </w:rPr>
        <w:t>berpotensi lebih efisien dibanding dua jenis bahan bakar lainnya.</w:t>
      </w:r>
    </w:p>
    <w:p w:rsidR="00DD78B2" w:rsidRPr="00DD78B2" w:rsidP="00DD78B2" w14:paraId="164B4771" w14:textId="06E557FC">
      <w:pPr>
        <w:spacing w:before="117" w:line="275" w:lineRule="exact"/>
        <w:ind w:left="142" w:firstLine="709"/>
        <w:jc w:val="both"/>
        <w:rPr>
          <w:sz w:val="24"/>
          <w:szCs w:val="24"/>
          <w:lang w:val="id-ID"/>
        </w:rPr>
      </w:pPr>
      <w:r w:rsidRPr="000F7367">
        <w:rPr>
          <w:sz w:val="24"/>
          <w:szCs w:val="24"/>
          <w:lang w:val="id-ID"/>
        </w:rPr>
        <w:t xml:space="preserve">Berdasarkan </w:t>
      </w:r>
      <w:r w:rsidRPr="00DD78B2">
        <w:rPr>
          <w:sz w:val="24"/>
          <w:szCs w:val="24"/>
          <w:lang w:val="id-ID"/>
        </w:rPr>
        <w:t>temperatur terendah, minyak goreng bekas mencatat nilai paling rendah yaitu 391°C pada baris ke-1 titik 120 mm. Oli bekas memiliki temperatur minimum sebesar 397°C, ditemukan di baris ke-2 titik 120 mm. Sedangkan oli baru memiliki temperatur minimum yang sedikit lebih tinggi, yaitu 3</w:t>
      </w:r>
      <w:r w:rsidRPr="000F7367" w:rsidR="00B74485">
        <w:rPr>
          <w:sz w:val="24"/>
          <w:szCs w:val="24"/>
          <w:lang w:val="id-ID"/>
        </w:rPr>
        <w:t>98</w:t>
      </w:r>
      <w:r w:rsidRPr="00DD78B2">
        <w:rPr>
          <w:sz w:val="24"/>
          <w:szCs w:val="24"/>
          <w:lang w:val="id-ID"/>
        </w:rPr>
        <w:t>°C pada baris ke-</w:t>
      </w:r>
      <w:r w:rsidRPr="000F7367" w:rsidR="00B74485">
        <w:rPr>
          <w:sz w:val="24"/>
          <w:szCs w:val="24"/>
          <w:lang w:val="id-ID"/>
        </w:rPr>
        <w:t>4</w:t>
      </w:r>
      <w:r w:rsidRPr="00DD78B2">
        <w:rPr>
          <w:sz w:val="24"/>
          <w:szCs w:val="24"/>
          <w:lang w:val="id-ID"/>
        </w:rPr>
        <w:t xml:space="preserve"> titik 120 mm. </w:t>
      </w:r>
      <w:r w:rsidRPr="000F7367" w:rsidR="00B74485">
        <w:rPr>
          <w:sz w:val="24"/>
          <w:szCs w:val="24"/>
          <w:lang w:val="id-ID"/>
        </w:rPr>
        <w:t>O</w:t>
      </w:r>
      <w:r w:rsidRPr="00DD78B2">
        <w:rPr>
          <w:sz w:val="24"/>
          <w:szCs w:val="24"/>
          <w:lang w:val="id-ID"/>
        </w:rPr>
        <w:t xml:space="preserve">li baru menunjukkan angka minimum </w:t>
      </w:r>
      <w:r w:rsidRPr="000F7367" w:rsidR="00B74485">
        <w:rPr>
          <w:sz w:val="24"/>
          <w:szCs w:val="24"/>
          <w:lang w:val="id-ID"/>
        </w:rPr>
        <w:t>yang lebih tinggi</w:t>
      </w:r>
      <w:r w:rsidRPr="00DD78B2">
        <w:rPr>
          <w:sz w:val="24"/>
          <w:szCs w:val="24"/>
          <w:lang w:val="id-ID"/>
        </w:rPr>
        <w:t xml:space="preserve">, distribusi temperaturnya lebih stabil dan penurunan terjadi secara bertahap. Sebaliknya, minyak goreng bekas menunjukkan fluktuasi yang drastis dengan penurunan tajam terutama setelah titik 70 mm, yang mengindikasikan </w:t>
      </w:r>
      <w:r w:rsidRPr="00DD78B2">
        <w:rPr>
          <w:sz w:val="24"/>
          <w:szCs w:val="24"/>
          <w:lang w:val="id-ID"/>
        </w:rPr>
        <w:t>performa termal yang tidak stabil dan mudah kehilangan panas secara cepat.</w:t>
      </w:r>
    </w:p>
    <w:p w:rsidR="00DD78B2" w:rsidRPr="00DD78B2" w:rsidP="00DD78B2" w14:paraId="61007145" w14:textId="7840B16A">
      <w:pPr>
        <w:spacing w:before="117" w:line="275" w:lineRule="exact"/>
        <w:ind w:left="142" w:firstLine="709"/>
        <w:jc w:val="both"/>
        <w:rPr>
          <w:sz w:val="24"/>
          <w:szCs w:val="24"/>
          <w:lang w:val="id-ID"/>
        </w:rPr>
      </w:pPr>
      <w:r w:rsidRPr="00DD78B2">
        <w:rPr>
          <w:sz w:val="24"/>
          <w:szCs w:val="24"/>
          <w:lang w:val="id-ID"/>
        </w:rPr>
        <w:t>Dalam hal luas area temperatur tinggi, oli baru menunjukkan cakupan yang paling luas dan merata. Banyak titik dari awal hingga sekitar titik 45 mm menunjukkan temperatur di atas 1000°C, dan distribusinya relatif konsisten di hampir semua baris. Oli bekas juga memperlihatkan pola temperatur tinggi yang cukup merata, terutama di antara titik 10–40 mm. Namun, distribusinya tidak sehomogen oli baru dan mulai menunjukkan penurunan stabil setelah titik 45 mm. Sebaliknya, minyak goreng bekas hanya memiliki area temperatur tinggi yang terbatas, terlihat hanya di beberapa titik seperti baris 5 dan 6 di antara titik 25–40 mm, dengan penurunan drastis setelah itu. Hal ini mengindikasikan bahwa minyak goreng bekas tidak mampu mempertahankan panas secara optimal.</w:t>
      </w:r>
    </w:p>
    <w:p w:rsidR="003B0F8E" w:rsidRPr="000F7367" w:rsidP="003B0F8E" w14:paraId="42EFC4E7" w14:textId="5519B7E6">
      <w:pPr>
        <w:spacing w:after="120" w:line="275" w:lineRule="exact"/>
        <w:ind w:left="142" w:firstLine="709"/>
        <w:jc w:val="both"/>
        <w:rPr>
          <w:sz w:val="24"/>
          <w:szCs w:val="24"/>
          <w:lang w:val="id"/>
        </w:rPr>
      </w:pPr>
      <w:r w:rsidRPr="00DD78B2">
        <w:rPr>
          <w:sz w:val="24"/>
          <w:szCs w:val="24"/>
          <w:lang w:val="id-ID"/>
        </w:rPr>
        <w:t xml:space="preserve">Secara keseluruhan, oli baru </w:t>
      </w:r>
      <w:r w:rsidRPr="000F7367">
        <w:rPr>
          <w:sz w:val="24"/>
          <w:szCs w:val="24"/>
          <w:lang w:val="id-ID"/>
        </w:rPr>
        <w:t xml:space="preserve">menunjukkan </w:t>
      </w:r>
      <w:r w:rsidRPr="00DD78B2">
        <w:rPr>
          <w:sz w:val="24"/>
          <w:szCs w:val="24"/>
          <w:lang w:val="id-ID"/>
        </w:rPr>
        <w:t xml:space="preserve">sebagai bahan </w:t>
      </w:r>
      <w:r w:rsidRPr="000F7367">
        <w:rPr>
          <w:sz w:val="24"/>
          <w:szCs w:val="24"/>
          <w:lang w:val="id-ID"/>
        </w:rPr>
        <w:t xml:space="preserve">bakar </w:t>
      </w:r>
      <w:r w:rsidRPr="00DD78B2">
        <w:rPr>
          <w:sz w:val="24"/>
          <w:szCs w:val="24"/>
          <w:lang w:val="id-ID"/>
        </w:rPr>
        <w:t>dengan performa termal terbaik. Ia menunjukkan nilai temperatur maksimum tertinggi, distribusi panas yang konsisten, dan area temperatur tinggi yang luas. Oli bekas masih menunjukkan performa yang layak dengan temperatur maksimum mendekati oli baru dan distribusi panas yang cukup baik, meskipun mulai berkurang kestabilannya. Sementara itu, minyak goreng bekas menunjukkan performa terlemah dengan fluktuasi tinggi, area temperatur tinggi yang terbatas, serta kehilangan panas yang signifikan setelah titik tertentu.</w:t>
      </w:r>
      <w:r w:rsidRPr="000F7367">
        <w:rPr>
          <w:sz w:val="24"/>
          <w:szCs w:val="24"/>
          <w:lang w:val="id-ID"/>
        </w:rPr>
        <w:t xml:space="preserve"> </w:t>
      </w:r>
      <w:r w:rsidRPr="000F7367">
        <w:rPr>
          <w:sz w:val="24"/>
          <w:szCs w:val="24"/>
          <w:lang w:val="id"/>
        </w:rPr>
        <w:t xml:space="preserve">Hal ini menegaskan bahwa penggunaan oli baru pada kompor oli bekas dengan </w:t>
      </w:r>
      <w:r w:rsidRPr="000F7367">
        <w:rPr>
          <w:i/>
          <w:iCs/>
          <w:sz w:val="24"/>
          <w:szCs w:val="24"/>
          <w:lang w:val="id"/>
        </w:rPr>
        <w:t>preheating</w:t>
      </w:r>
      <w:r w:rsidRPr="000F7367">
        <w:rPr>
          <w:sz w:val="24"/>
          <w:szCs w:val="24"/>
          <w:lang w:val="id"/>
        </w:rPr>
        <w:t xml:space="preserve"> bahan bakar dapat meningkatkan efisiensi panas, dan berpotensi dioptimalkan untuk energi alternatif yang ramah lingkungan</w:t>
      </w:r>
      <w:r w:rsidRPr="000F7367" w:rsidR="000F7367">
        <w:rPr>
          <w:sz w:val="24"/>
          <w:szCs w:val="24"/>
          <w:lang w:val="id"/>
        </w:rPr>
        <w:t xml:space="preserve"> </w:t>
      </w:r>
      <w:r w:rsidRPr="000F7367" w:rsidR="000F7367">
        <w:rPr>
          <w:sz w:val="24"/>
          <w:szCs w:val="24"/>
          <w:lang w:val="id"/>
        </w:rPr>
        <w:fldChar w:fldCharType="begin" w:fldLock="1"/>
      </w:r>
      <w:r w:rsidR="00A1528E">
        <w:rPr>
          <w:sz w:val="24"/>
          <w:szCs w:val="24"/>
          <w:lang w:val="id"/>
        </w:rPr>
        <w:instrText>ADDIN CSL_CITATION {"citationItems":[{"id":"ITEM-1","itemData":{"DOI":"10.5937/jaes0-48185","ISSN":"1451-4117","abstract":"This research explores the utilization of used oil as an alternative fuel and investigates the impact of preheating on its performance in combustion chambers. The study employs an experimental approach to vary preheating methods, utilizing two models: a ring placed in the combustion chamber and a ring combined with a spiral between the inner and outer stove walls. A comparative analysis is conducted against conventional stoves. The investigation focuses on efficiency and flame temperature distribution. Results reveal that the stove incorporating the spiral-ring preheating model demonstrates the highest efficiency at 55.52%, marking a 9.76% increase over conventional stoves. Additionally, this model generates the largest average heat area and the highest temperatures, notably reaching 1077°C, with a broader area above 1000°C compared to other models. The preheating process aids in reducing fuel viscosity and enhancing evaporation, facilitating a more homogeneous air-fuel mixture, thereby promoting more complete combustion.","author":[{"dropping-particle":"","family":"Sudarno","given":"Sudarno","non-dropping-particle":"","parse-names":false,"suffix":""},{"dropping-particle":"","family":"Fadelan","given":"Fadelan","non-dropping-particle":"","parse-names":false,"suffix":""},{"dropping-particle":"","family":"Setyatinika","given":"Wisnu Aji","non-dropping-particle":"","parse-names":false,"suffix":""},{"dropping-particle":"","family":"Winardi","given":"Yoyok","non-dropping-particle":"","parse-names":false,"suffix":""}],"container-title":"Journal of Applied Engineering Science","id":"ITEM-1","issued":{"date-parts":[["2024"]]},"page":"1-9","title":"the Effect of Fuel Preheating on the Performance of Used Oil Fuel Stoves","type":"article-journal"},"uris":["http://www.mendeley.com/documents/?uuid=66148784-e38c-49fa-a84e-67495335600d"]}],"mendeley":{"formattedCitation":"[17]","plainTextFormattedCitation":"[17]","previouslyFormattedCitation":"(Sudarno et al., 2024)"},"properties":{"noteIndex":0},"schema":"https://github.com/citation-style-language/schema/raw/master/csl-citation.json"}</w:instrText>
      </w:r>
      <w:r w:rsidRPr="000F7367" w:rsidR="000F7367">
        <w:rPr>
          <w:sz w:val="24"/>
          <w:szCs w:val="24"/>
          <w:lang w:val="id"/>
        </w:rPr>
        <w:fldChar w:fldCharType="separate"/>
      </w:r>
      <w:r w:rsidRPr="00A1528E" w:rsidR="00A1528E">
        <w:rPr>
          <w:noProof/>
          <w:sz w:val="24"/>
          <w:szCs w:val="24"/>
          <w:lang w:val="id"/>
        </w:rPr>
        <w:t>[17]</w:t>
      </w:r>
      <w:r w:rsidRPr="000F7367" w:rsidR="000F7367">
        <w:rPr>
          <w:sz w:val="24"/>
          <w:szCs w:val="24"/>
          <w:lang w:val="id"/>
        </w:rPr>
        <w:fldChar w:fldCharType="end"/>
      </w:r>
      <w:r w:rsidRPr="000F7367" w:rsidR="000F7367">
        <w:rPr>
          <w:sz w:val="24"/>
          <w:szCs w:val="24"/>
          <w:lang w:val="id"/>
        </w:rPr>
        <w:t xml:space="preserve"> </w:t>
      </w:r>
      <w:r w:rsidRPr="000F7367" w:rsidR="000F7367">
        <w:rPr>
          <w:sz w:val="24"/>
          <w:szCs w:val="24"/>
          <w:lang w:val="id"/>
        </w:rPr>
        <w:fldChar w:fldCharType="begin" w:fldLock="1"/>
      </w:r>
      <w:r w:rsidR="00A1528E">
        <w:rPr>
          <w:sz w:val="24"/>
          <w:szCs w:val="24"/>
          <w:lang w:val="id"/>
        </w:rPr>
        <w:instrText>ADDIN CSL_CITATION {"citationItems":[{"id":"ITEM-1","itemData":{"DOI":"10.1088/1742-6596/2972/1/012012","ISBN":"0009000988516","author":[{"dropping-particle":"","family":"Umami","given":"Mahrus","non-dropping-particle":"","parse-names":false,"suffix":""},{"dropping-particle":"","family":"Irawan","given":"Ibnu","non-dropping-particle":"","parse-names":false,"suffix":""},{"dropping-particle":"","family":"Prasetyo","given":"Teguh","non-dropping-particle":"","parse-names":false,"suffix":""}],"container-title":"Mechanical Today","id":"ITEM-1","issue":"2","issued":{"date-parts":[["2023"]]},"page":"34-45","title":"Identifying the potential of waste cooking oil, waste lubricating oil, and tar as alternative fuel for bioethanol processing stoves","type":"article-journal","volume":"4"},"uris":["http://www.mendeley.com/documents/?uuid=4474a7fb-42ce-4f53-8cbc-fe58ba865732"]}],"mendeley":{"formattedCitation":"[29]","plainTextFormattedCitation":"[29]","previouslyFormattedCitation":"(Umami et al., 2023)"},"properties":{"noteIndex":0},"schema":"https://github.com/citation-style-language/schema/raw/master/csl-citation.json"}</w:instrText>
      </w:r>
      <w:r w:rsidRPr="000F7367" w:rsidR="000F7367">
        <w:rPr>
          <w:sz w:val="24"/>
          <w:szCs w:val="24"/>
          <w:lang w:val="id"/>
        </w:rPr>
        <w:fldChar w:fldCharType="separate"/>
      </w:r>
      <w:r w:rsidRPr="00A1528E" w:rsidR="00A1528E">
        <w:rPr>
          <w:noProof/>
          <w:sz w:val="24"/>
          <w:szCs w:val="24"/>
          <w:lang w:val="id"/>
        </w:rPr>
        <w:t>[29]</w:t>
      </w:r>
      <w:r w:rsidRPr="000F7367" w:rsidR="000F7367">
        <w:rPr>
          <w:sz w:val="24"/>
          <w:szCs w:val="24"/>
          <w:lang w:val="id"/>
        </w:rPr>
        <w:fldChar w:fldCharType="end"/>
      </w:r>
      <w:r w:rsidRPr="000F7367" w:rsidR="000F7367">
        <w:rPr>
          <w:sz w:val="24"/>
          <w:szCs w:val="24"/>
          <w:lang w:val="id"/>
        </w:rPr>
        <w:t>-</w:t>
      </w:r>
      <w:r w:rsidRPr="000F7367" w:rsidR="000F7367">
        <w:rPr>
          <w:sz w:val="24"/>
          <w:szCs w:val="24"/>
          <w:lang w:val="id"/>
        </w:rPr>
        <w:fldChar w:fldCharType="begin" w:fldLock="1"/>
      </w:r>
      <w:r w:rsidR="00A1528E">
        <w:rPr>
          <w:sz w:val="24"/>
          <w:szCs w:val="24"/>
          <w:lang w:val="id"/>
        </w:rPr>
        <w:instrText>ADDIN CSL_CITATION {"citationItems":[{"id":"ITEM-1","itemData":{"DOI":"10.33541/edumatsains.v7i1.3869","ISSN":"2527-7642","abstract":"Used cooking oil (Jelantah's oil) is a frying rest oil which can't be used again to fry because it contains compounds that are quite dangerous for human health, which can be destructive for humans healthy. Beside to reduce an ambient contamination, used cooking oil can be recycled as an alternative fuel, in this case as to replace kerosene. The purpose of this study was to determine the effect of the primary Air Fuel Ratio on the combustion process in pressurized stove oil and knowing whether or not the direct combustion process of used cooking oil as an alternative fuel. The filth on used cooking oil must be removed to avoid a streaming gagging on koil. Analyzing used cooking oil water rate. Fuel tank loaded with used cooking oil. Fill the compressor with an air to pressurize the fuel tank.  Used cooking oil streamed inside the tank by manages flow rate then stream air with regulatory crane so up to scale which particular on flowmeter gases. Ruled air flow rate with scales regulatory crane flowmeter until up to stable state on appreciative given. Measuring temperature on burn tool with positioning different one (Spuyer, burner, burner's tip, kindled tip). The larger the primary Air Fuel Ratio, the better the mixing so that the total conversion of triglycerides into CO2 and CO products is greater. Used cooking oil may be directly used as an alternative fuel into an oil stove, especially pressured oil stove.","author":[{"dropping-particle":"","family":"Hikmah","given":"Nurhikmah","non-dropping-particle":"","parse-names":false,"suffix":""}],"container-title":"EduMatSains : Jurnal Pendidikan, Matematika dan Sains","id":"ITEM-1","issue":"1","issued":{"date-parts":[["2022"]]},"page":"65-76","title":"Pengolahan Minyak Jelantah Sebagai Pengganti Bahan Bakar Minyak Pada Kompor Minyak Bertekanan","type":"article-journal","volume":"7"},"uris":["http://www.mendeley.com/documents/?uuid=e2aed2c0-479c-4219-9846-5a8b6156810e"]}],"mendeley":{"formattedCitation":"[30]","plainTextFormattedCitation":"[30]","previouslyFormattedCitation":"(Hikmah, 2022)"},"properties":{"noteIndex":0},"schema":"https://github.com/citation-style-language/schema/raw/master/csl-citation.json"}</w:instrText>
      </w:r>
      <w:r w:rsidRPr="000F7367" w:rsidR="000F7367">
        <w:rPr>
          <w:sz w:val="24"/>
          <w:szCs w:val="24"/>
          <w:lang w:val="id"/>
        </w:rPr>
        <w:fldChar w:fldCharType="separate"/>
      </w:r>
      <w:r w:rsidRPr="00A1528E" w:rsidR="00A1528E">
        <w:rPr>
          <w:noProof/>
          <w:sz w:val="24"/>
          <w:szCs w:val="24"/>
          <w:lang w:val="id"/>
        </w:rPr>
        <w:t>[30]</w:t>
      </w:r>
      <w:r w:rsidRPr="000F7367" w:rsidR="000F7367">
        <w:rPr>
          <w:sz w:val="24"/>
          <w:szCs w:val="24"/>
          <w:lang w:val="id"/>
        </w:rPr>
        <w:fldChar w:fldCharType="end"/>
      </w:r>
      <w:r w:rsidRPr="000F7367">
        <w:rPr>
          <w:sz w:val="24"/>
          <w:szCs w:val="24"/>
          <w:lang w:val="id"/>
        </w:rPr>
        <w:t>.</w:t>
      </w:r>
    </w:p>
    <w:p w:rsidR="003B0F8E" w:rsidRPr="00AA2E3F" w:rsidP="003B0F8E" w14:paraId="2483D988" w14:textId="705C6404">
      <w:pPr>
        <w:spacing w:line="275" w:lineRule="exact"/>
        <w:ind w:left="142"/>
        <w:jc w:val="both"/>
        <w:rPr>
          <w:b/>
          <w:bCs/>
          <w:sz w:val="24"/>
          <w:szCs w:val="24"/>
          <w:lang w:val="id"/>
        </w:rPr>
      </w:pPr>
      <w:r w:rsidRPr="00AA2E3F">
        <w:rPr>
          <w:b/>
          <w:bCs/>
          <w:sz w:val="24"/>
          <w:szCs w:val="24"/>
          <w:lang w:val="id"/>
        </w:rPr>
        <w:t>3.3 Emisi Gas Buang</w:t>
      </w:r>
    </w:p>
    <w:p w:rsidR="006243ED" w:rsidRPr="00AA2E3F" w:rsidP="006243ED" w14:paraId="0E5BA6BE" w14:textId="77777777">
      <w:pPr>
        <w:spacing w:before="117" w:line="275" w:lineRule="exact"/>
        <w:ind w:left="142" w:firstLine="709"/>
        <w:jc w:val="both"/>
        <w:rPr>
          <w:sz w:val="24"/>
          <w:szCs w:val="24"/>
          <w:lang w:val="id"/>
        </w:rPr>
      </w:pPr>
      <w:r w:rsidRPr="00AA2E3F">
        <w:rPr>
          <w:sz w:val="24"/>
          <w:szCs w:val="24"/>
          <w:lang w:val="id"/>
        </w:rPr>
        <w:t>Hasil uji emisi gas buang pada masing-masing variabel sebagaimana ditunjukkan pada gambar 6.</w:t>
      </w:r>
    </w:p>
    <w:p w:rsidR="006243ED" w:rsidRPr="00AA2E3F" w:rsidP="006243ED" w14:paraId="5DC1A1F3" w14:textId="77777777">
      <w:pPr>
        <w:spacing w:before="117" w:line="275" w:lineRule="exact"/>
        <w:ind w:left="142" w:firstLine="709"/>
        <w:jc w:val="both"/>
        <w:rPr>
          <w:sz w:val="24"/>
          <w:szCs w:val="24"/>
          <w:lang w:val="id"/>
        </w:rPr>
      </w:pPr>
    </w:p>
    <w:p w:rsidR="006243ED" w:rsidP="006243ED" w14:paraId="7C7D675C" w14:textId="77777777">
      <w:pPr>
        <w:spacing w:before="117" w:line="275" w:lineRule="exact"/>
        <w:ind w:left="142" w:firstLine="709"/>
        <w:jc w:val="both"/>
        <w:rPr>
          <w:color w:val="0070C0"/>
          <w:sz w:val="24"/>
          <w:szCs w:val="24"/>
          <w:lang w:val="id"/>
        </w:rPr>
      </w:pPr>
    </w:p>
    <w:p w:rsidR="006C02BB" w:rsidP="006243ED" w14:paraId="31EDE9D4" w14:textId="77777777">
      <w:pPr>
        <w:spacing w:before="117" w:line="275" w:lineRule="exact"/>
        <w:ind w:left="142" w:firstLine="709"/>
        <w:jc w:val="both"/>
        <w:rPr>
          <w:color w:val="0070C0"/>
          <w:sz w:val="24"/>
          <w:szCs w:val="24"/>
          <w:lang w:val="id"/>
        </w:rPr>
      </w:pPr>
    </w:p>
    <w:p w:rsidR="006C02BB" w:rsidP="006243ED" w14:paraId="475D949D" w14:textId="58CD2CC4">
      <w:pPr>
        <w:spacing w:before="117" w:line="275" w:lineRule="exact"/>
        <w:ind w:left="142" w:firstLine="709"/>
        <w:jc w:val="both"/>
        <w:rPr>
          <w:color w:val="0070C0"/>
          <w:sz w:val="24"/>
          <w:szCs w:val="24"/>
          <w:lang w:val="id"/>
        </w:rPr>
      </w:pPr>
      <w:r>
        <w:rPr>
          <w:noProof/>
          <w:color w:val="0070C0"/>
          <w:sz w:val="24"/>
          <w:szCs w:val="24"/>
          <w:lang w:val="id"/>
        </w:rPr>
        <mc:AlternateContent>
          <mc:Choice Requires="wpg">
            <w:drawing>
              <wp:anchor distT="0" distB="0" distL="114300" distR="114300" simplePos="0" relativeHeight="251680768" behindDoc="0" locked="0" layoutInCell="1" allowOverlap="1">
                <wp:simplePos x="0" y="0"/>
                <wp:positionH relativeFrom="column">
                  <wp:posOffset>163384</wp:posOffset>
                </wp:positionH>
                <wp:positionV relativeFrom="paragraph">
                  <wp:posOffset>90660</wp:posOffset>
                </wp:positionV>
                <wp:extent cx="2838915" cy="5996110"/>
                <wp:effectExtent l="0" t="0" r="0" b="5080"/>
                <wp:wrapNone/>
                <wp:docPr id="530573148"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2838915" cy="5996110"/>
                          <a:chOff x="0" y="0"/>
                          <a:chExt cx="2838915" cy="5996110"/>
                        </a:xfrm>
                      </wpg:grpSpPr>
                      <wps:wsp xmlns:wps="http://schemas.microsoft.com/office/word/2010/wordprocessingShape">
                        <wps:cNvPr id="1742588601" name="Text Box 162"/>
                        <wps:cNvSpPr txBox="1"/>
                        <wps:spPr>
                          <a:xfrm>
                            <a:off x="2399168" y="1656785"/>
                            <a:ext cx="422030" cy="260252"/>
                          </a:xfrm>
                          <a:prstGeom prst="rect">
                            <a:avLst/>
                          </a:prstGeom>
                          <a:solidFill>
                            <a:schemeClr val="lt1"/>
                          </a:solidFill>
                          <a:ln w="6350">
                            <a:noFill/>
                          </a:ln>
                        </wps:spPr>
                        <wps:txbx>
                          <w:txbxContent>
                            <w:p w:rsidR="006243ED" w14:textId="7B43CFB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2124815300" name="Text Box 162"/>
                        <wps:cNvSpPr txBox="1"/>
                        <wps:spPr>
                          <a:xfrm>
                            <a:off x="2390114" y="3675707"/>
                            <a:ext cx="422030" cy="267287"/>
                          </a:xfrm>
                          <a:prstGeom prst="rect">
                            <a:avLst/>
                          </a:prstGeom>
                          <a:solidFill>
                            <a:sysClr val="window" lastClr="FFFFFF"/>
                          </a:solidFill>
                          <a:ln w="6350">
                            <a:noFill/>
                          </a:ln>
                        </wps:spPr>
                        <wps:txbx>
                          <w:txbxContent>
                            <w:p w:rsidR="006243ED" w:rsidP="006243ED" w14:textId="3AE000C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1763716436" name="Text Box 162"/>
                        <wps:cNvSpPr txBox="1"/>
                        <wps:spPr>
                          <a:xfrm>
                            <a:off x="2417275" y="5721790"/>
                            <a:ext cx="421640" cy="274320"/>
                          </a:xfrm>
                          <a:prstGeom prst="rect">
                            <a:avLst/>
                          </a:prstGeom>
                          <a:solidFill>
                            <a:sysClr val="window" lastClr="FFFFFF"/>
                          </a:solidFill>
                          <a:ln w="6350">
                            <a:noFill/>
                          </a:ln>
                        </wps:spPr>
                        <wps:txbx>
                          <w:txbxContent>
                            <w:p w:rsidR="006243ED" w:rsidP="006243ED" w14:textId="7B1CB5D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817534722" name="Picture 72"/>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4940" cy="1645920"/>
                          </a:xfrm>
                          <a:prstGeom prst="rect">
                            <a:avLst/>
                          </a:prstGeom>
                          <a:noFill/>
                        </pic:spPr>
                      </pic:pic>
                      <pic:pic xmlns:pic="http://schemas.openxmlformats.org/drawingml/2006/picture">
                        <pic:nvPicPr>
                          <pic:cNvPr id="196854541" name="Picture 73"/>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9053" y="1937442"/>
                            <a:ext cx="2688590" cy="1718945"/>
                          </a:xfrm>
                          <a:prstGeom prst="rect">
                            <a:avLst/>
                          </a:prstGeom>
                          <a:noFill/>
                        </pic:spPr>
                      </pic:pic>
                      <pic:pic xmlns:pic="http://schemas.openxmlformats.org/drawingml/2006/picture">
                        <pic:nvPicPr>
                          <pic:cNvPr id="1188708120" name="Picture 74"/>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18107" y="3992579"/>
                            <a:ext cx="2700655" cy="1731645"/>
                          </a:xfrm>
                          <a:prstGeom prst="rect">
                            <a:avLst/>
                          </a:prstGeom>
                          <a:noFill/>
                        </pic:spPr>
                      </pic:pic>
                    </wpg:wgp>
                  </a:graphicData>
                </a:graphic>
              </wp:anchor>
            </w:drawing>
          </mc:Choice>
          <mc:Fallback>
            <w:pict>
              <v:group id="Group 76" o:spid="_x0000_s1043" style="width:223.55pt;height:472.15pt;margin-top:7.15pt;margin-left:12.85pt;position:absolute;z-index:251681792" coordsize="28389,59961">
                <v:shape id="Text Box 162" o:spid="_x0000_s1044" type="#_x0000_t202" style="width:4220;height:2603;left:23991;mso-wrap-style:square;position:absolute;top:16567;v-text-anchor:top;visibility:visible" fillcolor="white" stroked="f" strokeweight="0.5pt">
                  <v:textbox>
                    <w:txbxContent>
                      <w:p w:rsidR="006243ED" w14:paraId="163553A3" w14:textId="7B43CFBF">
                        <w:r>
                          <w:t>(a)</w:t>
                        </w:r>
                      </w:p>
                    </w:txbxContent>
                  </v:textbox>
                </v:shape>
                <v:shape id="Text Box 162" o:spid="_x0000_s1045" type="#_x0000_t202" style="width:4220;height:2672;left:23901;mso-wrap-style:square;position:absolute;top:36757;v-text-anchor:top;visibility:visible" fillcolor="window" stroked="f" strokeweight="0.5pt">
                  <v:textbox>
                    <w:txbxContent>
                      <w:p w:rsidR="006243ED" w:rsidP="006243ED" w14:paraId="4A0A73C8" w14:textId="3AE000CB">
                        <w:r>
                          <w:t>(b)</w:t>
                        </w:r>
                      </w:p>
                    </w:txbxContent>
                  </v:textbox>
                </v:shape>
                <v:shape id="Text Box 162" o:spid="_x0000_s1046" type="#_x0000_t202" style="width:4217;height:2744;left:24172;mso-wrap-style:square;position:absolute;top:57217;v-text-anchor:top;visibility:visible" fillcolor="window" stroked="f" strokeweight="0.5pt">
                  <v:textbox>
                    <w:txbxContent>
                      <w:p w:rsidR="006243ED" w:rsidP="006243ED" w14:paraId="3E8B339A" w14:textId="7B1CB5DF">
                        <w:r>
                          <w:t>(c)</w:t>
                        </w:r>
                      </w:p>
                    </w:txbxContent>
                  </v:textbox>
                </v:shape>
                <v:shape id="Picture 72" o:spid="_x0000_s1047" type="#_x0000_t75" style="width:26949;height:16459;mso-wrap-style:square;position:absolute;visibility:visible">
                  <v:imagedata r:id="rId18" o:title=""/>
                </v:shape>
                <v:shape id="Picture 73" o:spid="_x0000_s1048" type="#_x0000_t75" style="width:26886;height:17189;left:90;mso-wrap-style:square;position:absolute;top:19374;visibility:visible">
                  <v:imagedata r:id="rId19" o:title=""/>
                </v:shape>
                <v:shape id="Picture 74" o:spid="_x0000_s1049" type="#_x0000_t75" style="width:27006;height:17317;left:181;mso-wrap-style:square;position:absolute;top:39925;visibility:visible">
                  <v:imagedata r:id="rId20" o:title=""/>
                </v:shape>
              </v:group>
            </w:pict>
          </mc:Fallback>
        </mc:AlternateContent>
      </w:r>
    </w:p>
    <w:p w:rsidR="006C02BB" w:rsidP="006243ED" w14:paraId="67D2BD83" w14:textId="70F49CD5">
      <w:pPr>
        <w:spacing w:before="117" w:line="275" w:lineRule="exact"/>
        <w:ind w:left="142" w:firstLine="709"/>
        <w:jc w:val="both"/>
        <w:rPr>
          <w:color w:val="0070C0"/>
          <w:sz w:val="24"/>
          <w:szCs w:val="24"/>
          <w:lang w:val="id"/>
        </w:rPr>
      </w:pPr>
    </w:p>
    <w:p w:rsidR="006C02BB" w:rsidP="006243ED" w14:paraId="673C49D6" w14:textId="3EFFDA3F">
      <w:pPr>
        <w:spacing w:before="117" w:line="275" w:lineRule="exact"/>
        <w:ind w:left="142" w:firstLine="709"/>
        <w:jc w:val="both"/>
        <w:rPr>
          <w:color w:val="0070C0"/>
          <w:sz w:val="24"/>
          <w:szCs w:val="24"/>
          <w:lang w:val="id"/>
        </w:rPr>
      </w:pPr>
    </w:p>
    <w:p w:rsidR="006C02BB" w:rsidP="006243ED" w14:paraId="2DD8870F" w14:textId="51476B76">
      <w:pPr>
        <w:spacing w:before="117" w:line="275" w:lineRule="exact"/>
        <w:ind w:left="142" w:firstLine="709"/>
        <w:jc w:val="both"/>
        <w:rPr>
          <w:color w:val="0070C0"/>
          <w:sz w:val="24"/>
          <w:szCs w:val="24"/>
          <w:lang w:val="id"/>
        </w:rPr>
      </w:pPr>
    </w:p>
    <w:p w:rsidR="006C02BB" w:rsidP="006243ED" w14:paraId="3F7B8DA0" w14:textId="14CA9A0A">
      <w:pPr>
        <w:spacing w:before="117" w:line="275" w:lineRule="exact"/>
        <w:ind w:left="142" w:firstLine="709"/>
        <w:jc w:val="both"/>
        <w:rPr>
          <w:color w:val="0070C0"/>
          <w:sz w:val="24"/>
          <w:szCs w:val="24"/>
          <w:lang w:val="id"/>
        </w:rPr>
      </w:pPr>
    </w:p>
    <w:p w:rsidR="006C02BB" w:rsidP="006243ED" w14:paraId="31F66648" w14:textId="73C5DBBE">
      <w:pPr>
        <w:spacing w:before="117" w:line="275" w:lineRule="exact"/>
        <w:ind w:left="142" w:firstLine="709"/>
        <w:jc w:val="both"/>
        <w:rPr>
          <w:color w:val="0070C0"/>
          <w:sz w:val="24"/>
          <w:szCs w:val="24"/>
          <w:lang w:val="id"/>
        </w:rPr>
      </w:pPr>
    </w:p>
    <w:p w:rsidR="006C02BB" w:rsidP="006243ED" w14:paraId="314F7CDE" w14:textId="3D6EA57B">
      <w:pPr>
        <w:spacing w:before="117" w:line="275" w:lineRule="exact"/>
        <w:ind w:left="142" w:firstLine="709"/>
        <w:jc w:val="both"/>
        <w:rPr>
          <w:color w:val="0070C0"/>
          <w:sz w:val="24"/>
          <w:szCs w:val="24"/>
          <w:lang w:val="id"/>
        </w:rPr>
      </w:pPr>
    </w:p>
    <w:p w:rsidR="006243ED" w:rsidP="006243ED" w14:paraId="193F7AFF" w14:textId="5D89ACCD">
      <w:pPr>
        <w:spacing w:before="117" w:line="275" w:lineRule="exact"/>
        <w:ind w:left="142" w:firstLine="709"/>
        <w:jc w:val="both"/>
        <w:rPr>
          <w:color w:val="0070C0"/>
          <w:sz w:val="24"/>
          <w:szCs w:val="24"/>
          <w:lang w:val="id"/>
        </w:rPr>
      </w:pPr>
    </w:p>
    <w:p w:rsidR="006243ED" w:rsidP="006243ED" w14:paraId="1CA4CE5C" w14:textId="3D552F52">
      <w:pPr>
        <w:spacing w:before="117" w:line="275" w:lineRule="exact"/>
        <w:ind w:left="142" w:firstLine="709"/>
        <w:jc w:val="both"/>
        <w:rPr>
          <w:color w:val="0070C0"/>
          <w:sz w:val="24"/>
          <w:szCs w:val="24"/>
          <w:lang w:val="id"/>
        </w:rPr>
      </w:pPr>
    </w:p>
    <w:p w:rsidR="006243ED" w:rsidP="006243ED" w14:paraId="3E07EA98" w14:textId="7D3BA5D1">
      <w:pPr>
        <w:spacing w:before="117" w:line="275" w:lineRule="exact"/>
        <w:ind w:left="142" w:firstLine="709"/>
        <w:jc w:val="both"/>
        <w:rPr>
          <w:color w:val="0070C0"/>
          <w:sz w:val="24"/>
          <w:szCs w:val="24"/>
          <w:lang w:val="id"/>
        </w:rPr>
      </w:pPr>
    </w:p>
    <w:p w:rsidR="006243ED" w:rsidP="006243ED" w14:paraId="648E74B8" w14:textId="77777777">
      <w:pPr>
        <w:spacing w:before="117" w:line="275" w:lineRule="exact"/>
        <w:ind w:left="142" w:firstLine="709"/>
        <w:jc w:val="both"/>
        <w:rPr>
          <w:color w:val="0070C0"/>
          <w:sz w:val="24"/>
          <w:szCs w:val="24"/>
          <w:lang w:val="id"/>
        </w:rPr>
      </w:pPr>
    </w:p>
    <w:p w:rsidR="006243ED" w:rsidP="006243ED" w14:paraId="2963214F" w14:textId="7094419E">
      <w:pPr>
        <w:spacing w:before="117" w:line="275" w:lineRule="exact"/>
        <w:ind w:left="142" w:firstLine="709"/>
        <w:jc w:val="both"/>
        <w:rPr>
          <w:color w:val="0070C0"/>
          <w:sz w:val="24"/>
          <w:szCs w:val="24"/>
          <w:lang w:val="id"/>
        </w:rPr>
      </w:pPr>
    </w:p>
    <w:p w:rsidR="006243ED" w:rsidP="006243ED" w14:paraId="69A221DB" w14:textId="77777777">
      <w:pPr>
        <w:spacing w:before="117" w:line="275" w:lineRule="exact"/>
        <w:ind w:left="142" w:firstLine="709"/>
        <w:jc w:val="both"/>
        <w:rPr>
          <w:color w:val="0070C0"/>
          <w:sz w:val="24"/>
          <w:szCs w:val="24"/>
          <w:lang w:val="id"/>
        </w:rPr>
      </w:pPr>
    </w:p>
    <w:p w:rsidR="006243ED" w:rsidP="006243ED" w14:paraId="06A9811B" w14:textId="2A92DDBC">
      <w:pPr>
        <w:spacing w:before="117" w:line="275" w:lineRule="exact"/>
        <w:ind w:left="142" w:firstLine="709"/>
        <w:jc w:val="both"/>
        <w:rPr>
          <w:color w:val="0070C0"/>
          <w:sz w:val="24"/>
          <w:szCs w:val="24"/>
          <w:lang w:val="id"/>
        </w:rPr>
      </w:pPr>
    </w:p>
    <w:p w:rsidR="006243ED" w:rsidP="006243ED" w14:paraId="0B30AA51" w14:textId="6929B923">
      <w:pPr>
        <w:spacing w:before="117" w:line="275" w:lineRule="exact"/>
        <w:ind w:left="142" w:firstLine="709"/>
        <w:jc w:val="both"/>
        <w:rPr>
          <w:color w:val="0070C0"/>
          <w:sz w:val="24"/>
          <w:szCs w:val="24"/>
          <w:lang w:val="id"/>
        </w:rPr>
      </w:pPr>
    </w:p>
    <w:p w:rsidR="006243ED" w:rsidP="006243ED" w14:paraId="2E57B71C" w14:textId="359F854A">
      <w:pPr>
        <w:spacing w:before="117" w:line="275" w:lineRule="exact"/>
        <w:ind w:left="142" w:firstLine="709"/>
        <w:jc w:val="both"/>
        <w:rPr>
          <w:color w:val="0070C0"/>
          <w:sz w:val="24"/>
          <w:szCs w:val="24"/>
          <w:lang w:val="id"/>
        </w:rPr>
      </w:pPr>
    </w:p>
    <w:p w:rsidR="006243ED" w:rsidP="006243ED" w14:paraId="254E17C8" w14:textId="57F7911F">
      <w:pPr>
        <w:spacing w:before="117" w:line="275" w:lineRule="exact"/>
        <w:ind w:left="142" w:firstLine="709"/>
        <w:jc w:val="both"/>
        <w:rPr>
          <w:color w:val="0070C0"/>
          <w:sz w:val="24"/>
          <w:szCs w:val="24"/>
          <w:lang w:val="id"/>
        </w:rPr>
      </w:pPr>
    </w:p>
    <w:p w:rsidR="006243ED" w:rsidP="006243ED" w14:paraId="6D1FCA16" w14:textId="638AA805">
      <w:pPr>
        <w:spacing w:before="117" w:line="275" w:lineRule="exact"/>
        <w:ind w:left="142" w:firstLine="709"/>
        <w:jc w:val="both"/>
        <w:rPr>
          <w:color w:val="0070C0"/>
          <w:sz w:val="24"/>
          <w:szCs w:val="24"/>
          <w:lang w:val="id"/>
        </w:rPr>
      </w:pPr>
    </w:p>
    <w:p w:rsidR="006243ED" w:rsidP="006243ED" w14:paraId="337CF2A9" w14:textId="0C31D941">
      <w:pPr>
        <w:spacing w:before="117" w:line="275" w:lineRule="exact"/>
        <w:ind w:left="142" w:firstLine="709"/>
        <w:jc w:val="both"/>
        <w:rPr>
          <w:color w:val="0070C0"/>
          <w:sz w:val="24"/>
          <w:szCs w:val="24"/>
          <w:lang w:val="id"/>
        </w:rPr>
      </w:pPr>
    </w:p>
    <w:p w:rsidR="006243ED" w:rsidP="006243ED" w14:paraId="589A962E" w14:textId="77777777">
      <w:pPr>
        <w:spacing w:before="117" w:line="275" w:lineRule="exact"/>
        <w:ind w:left="142" w:firstLine="709"/>
        <w:jc w:val="both"/>
        <w:rPr>
          <w:color w:val="0070C0"/>
          <w:sz w:val="24"/>
          <w:szCs w:val="24"/>
          <w:lang w:val="id"/>
        </w:rPr>
      </w:pPr>
    </w:p>
    <w:p w:rsidR="006243ED" w:rsidP="006243ED" w14:paraId="7D54AB3C" w14:textId="77777777">
      <w:pPr>
        <w:spacing w:before="117" w:line="275" w:lineRule="exact"/>
        <w:ind w:left="142" w:firstLine="709"/>
        <w:jc w:val="both"/>
        <w:rPr>
          <w:color w:val="0070C0"/>
          <w:sz w:val="24"/>
          <w:szCs w:val="24"/>
          <w:lang w:val="id"/>
        </w:rPr>
      </w:pPr>
    </w:p>
    <w:p w:rsidR="006243ED" w:rsidP="006243ED" w14:paraId="32833140" w14:textId="77777777">
      <w:pPr>
        <w:spacing w:before="117" w:line="275" w:lineRule="exact"/>
        <w:ind w:left="142" w:firstLine="709"/>
        <w:jc w:val="both"/>
        <w:rPr>
          <w:color w:val="0070C0"/>
          <w:sz w:val="24"/>
          <w:szCs w:val="24"/>
          <w:lang w:val="id"/>
        </w:rPr>
      </w:pPr>
    </w:p>
    <w:p w:rsidR="006243ED" w:rsidP="006243ED" w14:paraId="595FB335" w14:textId="77777777">
      <w:pPr>
        <w:spacing w:before="117" w:line="275" w:lineRule="exact"/>
        <w:ind w:left="142" w:firstLine="709"/>
        <w:jc w:val="both"/>
        <w:rPr>
          <w:color w:val="0070C0"/>
          <w:sz w:val="24"/>
          <w:szCs w:val="24"/>
          <w:lang w:val="id"/>
        </w:rPr>
      </w:pPr>
    </w:p>
    <w:p w:rsidR="006243ED" w:rsidP="006243ED" w14:paraId="6B970B85" w14:textId="08CE4272">
      <w:pPr>
        <w:spacing w:before="117" w:line="275" w:lineRule="exact"/>
        <w:ind w:left="142" w:firstLine="709"/>
        <w:jc w:val="both"/>
        <w:rPr>
          <w:color w:val="0070C0"/>
          <w:sz w:val="24"/>
          <w:szCs w:val="24"/>
          <w:lang w:val="id"/>
        </w:rPr>
      </w:pPr>
    </w:p>
    <w:p w:rsidR="006243ED" w:rsidP="006243ED" w14:paraId="0B611639" w14:textId="68F1F0C3">
      <w:pPr>
        <w:spacing w:before="117" w:line="275" w:lineRule="exact"/>
        <w:ind w:left="142" w:firstLine="709"/>
        <w:jc w:val="both"/>
        <w:rPr>
          <w:color w:val="0070C0"/>
          <w:sz w:val="24"/>
          <w:szCs w:val="24"/>
          <w:lang w:val="id"/>
        </w:rPr>
      </w:pPr>
    </w:p>
    <w:p w:rsidR="006243ED" w:rsidRPr="00AA2E3F" w:rsidP="006243ED" w14:paraId="297250C8" w14:textId="3DFFFE20">
      <w:pPr>
        <w:ind w:left="142"/>
        <w:jc w:val="center"/>
        <w:rPr>
          <w:sz w:val="24"/>
          <w:szCs w:val="24"/>
          <w:lang w:val="id"/>
        </w:rPr>
      </w:pPr>
      <w:r w:rsidRPr="00AA2E3F">
        <w:rPr>
          <w:sz w:val="24"/>
          <w:szCs w:val="24"/>
        </w:rPr>
        <w:t xml:space="preserve">Gambar 6. Hasil uji emisi gas buang: </w:t>
      </w:r>
      <w:r w:rsidRPr="00AA2E3F">
        <w:rPr>
          <w:sz w:val="24"/>
          <w:szCs w:val="24"/>
          <w:lang w:val="id"/>
        </w:rPr>
        <w:t xml:space="preserve">(a) </w:t>
      </w:r>
      <w:r w:rsidR="009B488E">
        <w:rPr>
          <w:sz w:val="24"/>
          <w:szCs w:val="24"/>
          <w:lang w:val="id"/>
        </w:rPr>
        <w:t>kadar CO</w:t>
      </w:r>
      <w:r w:rsidRPr="00AA2E3F">
        <w:rPr>
          <w:sz w:val="24"/>
          <w:szCs w:val="24"/>
          <w:lang w:val="id"/>
        </w:rPr>
        <w:t xml:space="preserve">; (b) </w:t>
      </w:r>
      <w:r w:rsidR="009B488E">
        <w:rPr>
          <w:sz w:val="24"/>
          <w:szCs w:val="24"/>
          <w:lang w:val="id"/>
        </w:rPr>
        <w:t>kadar CO</w:t>
      </w:r>
      <w:r w:rsidRPr="009B488E" w:rsidR="009B488E">
        <w:rPr>
          <w:sz w:val="24"/>
          <w:szCs w:val="24"/>
          <w:vertAlign w:val="subscript"/>
          <w:lang w:val="id"/>
        </w:rPr>
        <w:t>2</w:t>
      </w:r>
      <w:r w:rsidRPr="00AA2E3F">
        <w:rPr>
          <w:sz w:val="24"/>
          <w:szCs w:val="24"/>
          <w:lang w:val="id"/>
        </w:rPr>
        <w:t xml:space="preserve">; (c) </w:t>
      </w:r>
      <w:r w:rsidR="009B488E">
        <w:rPr>
          <w:sz w:val="24"/>
          <w:szCs w:val="24"/>
          <w:lang w:val="id"/>
        </w:rPr>
        <w:t>kadar HC</w:t>
      </w:r>
    </w:p>
    <w:p w:rsidR="006243ED" w:rsidRPr="00AA2E3F" w:rsidP="006243ED" w14:paraId="72011653" w14:textId="5BC2A63C">
      <w:pPr>
        <w:spacing w:before="117" w:line="275" w:lineRule="exact"/>
        <w:ind w:left="142" w:firstLine="709"/>
        <w:jc w:val="both"/>
        <w:rPr>
          <w:sz w:val="24"/>
          <w:szCs w:val="24"/>
          <w:lang w:val="id-ID"/>
        </w:rPr>
      </w:pPr>
      <w:r w:rsidRPr="00AA2E3F">
        <w:rPr>
          <w:sz w:val="24"/>
          <w:szCs w:val="24"/>
          <w:lang w:val="id-ID"/>
        </w:rPr>
        <w:t xml:space="preserve">Berdasarkan </w:t>
      </w:r>
      <w:r w:rsidRPr="00AA2E3F" w:rsidR="00AC2DC3">
        <w:rPr>
          <w:sz w:val="24"/>
          <w:szCs w:val="24"/>
          <w:lang w:val="id-ID"/>
        </w:rPr>
        <w:t xml:space="preserve">gambar 6, </w:t>
      </w:r>
      <w:r w:rsidRPr="00AA2E3F">
        <w:rPr>
          <w:sz w:val="24"/>
          <w:szCs w:val="24"/>
          <w:lang w:val="id-ID"/>
        </w:rPr>
        <w:t xml:space="preserve">data emisi gas buang dari ketiga jenis bahan bakar </w:t>
      </w:r>
      <w:r w:rsidRPr="00AA2E3F" w:rsidR="00AC2DC3">
        <w:rPr>
          <w:sz w:val="24"/>
          <w:szCs w:val="24"/>
          <w:lang w:val="id-ID"/>
        </w:rPr>
        <w:t xml:space="preserve">menunjukkan adanya </w:t>
      </w:r>
      <w:r w:rsidRPr="00AA2E3F">
        <w:rPr>
          <w:sz w:val="24"/>
          <w:szCs w:val="24"/>
          <w:lang w:val="id-ID"/>
        </w:rPr>
        <w:t xml:space="preserve">perbedaan signifikan dalam hal efisiensi pembakaran dan dampak lingkungan. Salah satu indikator utama adalah emisi karbon monoksida (CO), yang menunjukkan seberapa sempurna proses pembakaran berlangsung. Minyak goreng bekas mencatat emisi CO tertinggi sebesar 5,00%, disusul oleh oli bekas sebesar 3,31%, dan yang paling rendah adalah oli baru dengan 2,24%. Hal ini menunjukkan bahwa oli baru memiliki proses pembakaran yang paling sempurna, menghasilkan lebih sedikit CO, yaitu gas beracun yang terbentuk akibat pembakaran </w:t>
      </w:r>
      <w:r w:rsidRPr="00AA2E3F">
        <w:rPr>
          <w:sz w:val="24"/>
          <w:szCs w:val="24"/>
          <w:lang w:val="id-ID"/>
        </w:rPr>
        <w:t>tidak sempurna</w:t>
      </w:r>
      <w:r w:rsidR="001844ED">
        <w:rPr>
          <w:sz w:val="24"/>
          <w:szCs w:val="24"/>
          <w:lang w:val="id-ID"/>
        </w:rPr>
        <w:t xml:space="preserve"> </w:t>
      </w:r>
      <w:r w:rsidR="001844ED">
        <w:rPr>
          <w:sz w:val="24"/>
          <w:szCs w:val="24"/>
          <w:lang w:val="id-ID"/>
        </w:rPr>
        <w:fldChar w:fldCharType="begin" w:fldLock="1"/>
      </w:r>
      <w:r w:rsidR="00A1528E">
        <w:rPr>
          <w:sz w:val="24"/>
          <w:szCs w:val="24"/>
          <w:lang w:val="id-ID"/>
        </w:rPr>
        <w:instrText>ADDIN CSL_CITATION {"citationItems":[{"id":"ITEM-1","itemData":{"DOI":"10.3390/en16145427","ISSN":"19961073","abstract":"Fossil fuels confront the problem of strategic resource depletion since they have been continuously utilized for more than 200 years and cause serious damages to the ecological environment of the planet. In this work, the transesterification of castor plant oil was utilized to make biodiesel, and castor biodiesel’s physicochemical qualities were assessed. On a single-cylinder, four-stroke, water-cooled agricultural diesel engine, an experimental study was conducted to compare and analyze the engine performance and emission characteristics of diesel and biodiesel blends in various amounts. The B20, B40, B60, and B80 biodiesel blends were evaluated at different engine speeds (1200, 1400, 1600, and 1800 rpm) with a constant engine load (50%). According to the experimental findings, the brake thermal efficiency (BTE) declines as the engine speed rises, and the biodiesel fuel blend has a lower brake thermal efficiency (BTE) than diesel fuel because of its higher density and viscosity and lower calorific value. The amount of gasoline required to create power increases as the speed does, and the brake-specific fuel consumption (BSFC) trend is upward. Due to their low calorific value and high viscosity properties, biodiesel blends have a greater brake-specific fuel consumption (BSFC) than diesel. The fuel’s exhaust gas temperature (EGT) has an upward trend with an increased rotational speed. The biodiesel blend’s high cetane number shortens the ignition delay and lowers the exhaust gas temperature (EGT) compared to diesel. A fuel with oxygen added, biodiesel enhances combustion, increases the combustion temperature, speeds up the oxidation process, and lowers carbon monoxide (CO) and hydrocarbon emissions. B80 produces the lowest carbon monoxide and hydrocarbon emissions at 1800 rpm, at 0.33%, and 30 ppm, respectively. On the other hand, increased carbon dioxide (CO2) emissions result from a high oxygen concentration. In addition, compared to diesel fuel, biodiesel’s greater combustion temperature causes the creation of increased nitrogen oxide (NOx) emissions. According to the research findings, a castor biodiesel fuel blend is an excellent alternative fuel for engines since it can be utilized directly without modifying the current engine construction and has good engine and exhaust emission performance.","author":[{"dropping-particle":"","family":"Zheng","given":"Fangyuan","non-dropping-particle":"","parse-names":false,"suffix":""},{"dropping-particle":"","family":"Cho","given":"Haengmuk","non-dropping-particle":"","parse-names":false,"suffix":""}],"container-title":"Energies","id":"ITEM-1","issue":"14","issued":{"date-parts":[["2023"]]},"title":"Combustion and Emission of Castor Biofuel Blends in a Single-Cylinder Diesel Engine","type":"article-journal","volume":"16"},"uris":["http://www.mendeley.com/documents/?uuid=f8b05330-89ab-4de9-a7e7-fc457e340ef1"]}],"mendeley":{"formattedCitation":"[31]","plainTextFormattedCitation":"[31]","previouslyFormattedCitation":"(Zheng &amp; Cho, 2023)"},"properties":{"noteIndex":0},"schema":"https://github.com/citation-style-language/schema/raw/master/csl-citation.json"}</w:instrText>
      </w:r>
      <w:r w:rsidR="001844ED">
        <w:rPr>
          <w:sz w:val="24"/>
          <w:szCs w:val="24"/>
          <w:lang w:val="id-ID"/>
        </w:rPr>
        <w:fldChar w:fldCharType="separate"/>
      </w:r>
      <w:r w:rsidRPr="00A1528E" w:rsidR="00A1528E">
        <w:rPr>
          <w:noProof/>
          <w:sz w:val="24"/>
          <w:szCs w:val="24"/>
          <w:lang w:val="id-ID"/>
        </w:rPr>
        <w:t>[31]</w:t>
      </w:r>
      <w:r w:rsidR="001844ED">
        <w:rPr>
          <w:sz w:val="24"/>
          <w:szCs w:val="24"/>
          <w:lang w:val="id-ID"/>
        </w:rPr>
        <w:fldChar w:fldCharType="end"/>
      </w:r>
      <w:r w:rsidR="00A1528E">
        <w:rPr>
          <w:sz w:val="24"/>
          <w:szCs w:val="24"/>
          <w:lang w:val="id-ID"/>
        </w:rPr>
        <w:t>-</w:t>
      </w:r>
      <w:r w:rsidR="001844ED">
        <w:rPr>
          <w:sz w:val="24"/>
          <w:szCs w:val="24"/>
          <w:lang w:val="id-ID"/>
        </w:rPr>
        <w:fldChar w:fldCharType="begin" w:fldLock="1"/>
      </w:r>
      <w:r w:rsidR="00A1528E">
        <w:rPr>
          <w:sz w:val="24"/>
          <w:szCs w:val="24"/>
          <w:lang w:val="id-ID"/>
        </w:rPr>
        <w:instrText>ADDIN CSL_CITATION {"citationItems":[{"id":"ITEM-1","itemData":{"DOI":"10.18517/ijaseit.9.5.3928","ISSN":"24606952","abstract":"There are two main categories of combustion condition in the car combustion engine chamber, they are complete and incomplete combustion condition. The complete combustion condition is obtained when a balance of fuel, airflow, and ignition in the combustion chamber occurred. It is characterized by the level of elements and compounds contained in the exhaust emissions. The dominant elements and compounds in exhaust emissions of the gasoline-fueled engine are Hydrocarbon (HC), Carbon Monoxide (CO), Carbon Dioxide (CO2) and Oxygen (O2). This study aims to establish a system that is capable of identifying the combustion category of automobile engine through exhaust emissions. This emissions data was procured using gas multi-sensor processed by a Fast Fourier Transform (FFT) process and constructed in the form of the data pattern. The identifying process of the combustion category was done by comparing the detected data pattern with a reference data pattern utilizing the Sum Square Error (SSE) method. Trials had been conducted on some gasoline and Pertalite cars for carburetor and injection systems. The trials result showed that the system accuracy in identifying the category of complete combustion was 87% and the incomplete combustion category was 77%.","author":[{"dropping-particle":"","family":"Andrizal","given":"","non-dropping-particle":"","parse-names":false,"suffix":""},{"dropping-particle":"","family":"Lifwarda","given":"","non-dropping-particle":"","parse-names":false,"suffix":""},{"dropping-particle":"","family":"Hidayat","given":"Anton","non-dropping-particle":"","parse-names":false,"suffix":""},{"dropping-particle":"","family":"Susanti","given":"Roza","non-dropping-particle":"","parse-names":false,"suffix":""},{"dropping-particle":"","family":"Alfitri","given":"Nadia","non-dropping-particle":"","parse-names":false,"suffix":""},{"dropping-particle":"","family":"Chadry","given":"Rivanol","non-dropping-particle":"","parse-names":false,"suffix":""}],"container-title":"International Journal on Advanced Science, Engineering and Information Technology","id":"ITEM-1","issue":"5","issued":{"date-parts":[["2019"]]},"page":"1512-1519","title":"The identification of Car Combustion engine category on exhaust emissions data pattern base using Sum Square Error Method","type":"article-journal","volume":"9"},"uris":["http://www.mendeley.com/documents/?uuid=1548c2d7-099b-4005-a925-7d43c547784d"]}],"mendeley":{"formattedCitation":"[32]","plainTextFormattedCitation":"[32]","previouslyFormattedCitation":"(Andrizal et al., 2019)"},"properties":{"noteIndex":0},"schema":"https://github.com/citation-style-language/schema/raw/master/csl-citation.json"}</w:instrText>
      </w:r>
      <w:r w:rsidR="001844ED">
        <w:rPr>
          <w:sz w:val="24"/>
          <w:szCs w:val="24"/>
          <w:lang w:val="id-ID"/>
        </w:rPr>
        <w:fldChar w:fldCharType="separate"/>
      </w:r>
      <w:r w:rsidRPr="00A1528E" w:rsidR="00A1528E">
        <w:rPr>
          <w:noProof/>
          <w:sz w:val="24"/>
          <w:szCs w:val="24"/>
          <w:lang w:val="id-ID"/>
        </w:rPr>
        <w:t>[32]</w:t>
      </w:r>
      <w:r w:rsidR="001844ED">
        <w:rPr>
          <w:sz w:val="24"/>
          <w:szCs w:val="24"/>
          <w:lang w:val="id-ID"/>
        </w:rPr>
        <w:fldChar w:fldCharType="end"/>
      </w:r>
      <w:r w:rsidRPr="00AA2E3F" w:rsidR="007E056D">
        <w:rPr>
          <w:sz w:val="24"/>
          <w:szCs w:val="24"/>
          <w:lang w:val="id-ID"/>
        </w:rPr>
        <w:t>.</w:t>
      </w:r>
    </w:p>
    <w:p w:rsidR="006243ED" w:rsidRPr="001844ED" w:rsidP="006243ED" w14:paraId="2EC25CD3" w14:textId="78AF0AA2">
      <w:pPr>
        <w:spacing w:before="117" w:line="275" w:lineRule="exact"/>
        <w:ind w:left="142" w:firstLine="709"/>
        <w:jc w:val="both"/>
        <w:rPr>
          <w:sz w:val="24"/>
          <w:szCs w:val="24"/>
          <w:lang w:val="id-ID"/>
        </w:rPr>
      </w:pPr>
      <w:r w:rsidRPr="001844ED">
        <w:rPr>
          <w:sz w:val="24"/>
          <w:szCs w:val="24"/>
          <w:lang w:val="id-ID"/>
        </w:rPr>
        <w:t>Selain CO, emisi hidrokarbon (HC) juga menjadi indikator penting dalam menilai kualitas pembakaran. HC adalah senyawa yang belum terbakar sempurna, dan dapat menunjukkan tingkat pencemaran udara serta inefisiensi energi. Data menunjukkan bahwa minyak goreng bekas memiliki tingkat emisi HC paling tinggi yaitu 173,6 ppm, diikuti oleh oli bekas sebesar 48 ppm, dan yang terendah adalah oli baru dengan 24,4 ppm. Ini memperkuat kesimpulan sebelumnya bahwa oli baru merupakan bahan bakar yang menghasilkan pembakaran paling sempurna, sementara minyak goreng bekas cenderung meninggalkan residu pembakaran yang tinggi</w:t>
      </w:r>
      <w:r w:rsidRPr="001844ED" w:rsidR="001844ED">
        <w:rPr>
          <w:sz w:val="24"/>
          <w:szCs w:val="24"/>
          <w:lang w:val="id-ID"/>
        </w:rPr>
        <w:t xml:space="preserve"> </w:t>
      </w:r>
      <w:r w:rsidRPr="001844ED" w:rsidR="001844ED">
        <w:rPr>
          <w:sz w:val="24"/>
          <w:szCs w:val="24"/>
          <w:lang w:val="id-ID"/>
        </w:rPr>
        <w:fldChar w:fldCharType="begin" w:fldLock="1"/>
      </w:r>
      <w:r w:rsidR="00A1528E">
        <w:rPr>
          <w:sz w:val="24"/>
          <w:szCs w:val="24"/>
          <w:lang w:val="id-ID"/>
        </w:rPr>
        <w:instrText>ADDIN CSL_CITATION {"citationItems":[{"id":"ITEM-1","itemData":{"DOI":"10.4028/www.scientific.net/amm.773-774.425","abstract":" The depletion of fossil fuels as well as the rises of greenhouse gases had caused most government worldwide to follow the international energy policies for the use of biodiesel. One of the economical sources for biodiesel production is waste cooking oil. The use of waste cooking oil is more sustainable if they can perform similarly to conventional diesel fuel. This paper deals with the experimental study carried out to evaluate the engine performance and exhaust emission of diesel engine operated by biodiesel from waste cooking oil at various engine speed. The biodiesel used are known as B5, which contains of 5% of waste cooking oil and 95% of diesel fuel. The other one is B20, which contains of 20% of waste cooking oil plus 80% of diesel. Diesel was used as a comparison purposes. The results show that power and torque for B5 give the closest trend to diesel. In terms of heat release, diesel still dominates the highest value compared to B5 and B20. For exhaust emission, B5 and B20 showed improvement in the reduction of NO x and PM. ","author":[{"dropping-particle":"","family":"Ramlan","given":"Nur Atiqah","non-dropping-particle":"","parse-names":false,"suffix":""},{"dropping-particle":"","family":"Abdullah","given":"Abdul Adam","non-dropping-particle":"","parse-names":false,"suffix":""},{"dropping-particle":"","family":"Hamzah","given":"Mohd Herzwan","non-dropping-particle":"","parse-names":false,"suffix":""},{"dropping-particle":"","family":"Jaharudin","given":"Nur Fauziah","non-dropping-particle":"","parse-names":false,"suffix":""},{"dropping-particle":"","family":"Mamat","given":"Rizalman","non-dropping-particle":"","parse-names":false,"suffix":""}],"container-title":"Applied Mechanics and Materials","id":"ITEM-1","issue":"x","issued":{"date-parts":[["2015"]]},"page":"425-429","title":"Evaluation of Diesel Engine Performance and Exhaust Emission Characteristics Using Waste Cooking Oil","type":"article-journal","volume":"773-774"},"uris":["http://www.mendeley.com/documents/?uuid=daac190a-4d92-4902-910f-261e28bedf11"]}],"mendeley":{"formattedCitation":"[33]","plainTextFormattedCitation":"[33]","previouslyFormattedCitation":"(Ramlan et al., 2015)"},"properties":{"noteIndex":0},"schema":"https://github.com/citation-style-language/schema/raw/master/csl-citation.json"}</w:instrText>
      </w:r>
      <w:r w:rsidRPr="001844ED" w:rsidR="001844ED">
        <w:rPr>
          <w:sz w:val="24"/>
          <w:szCs w:val="24"/>
          <w:lang w:val="id-ID"/>
        </w:rPr>
        <w:fldChar w:fldCharType="separate"/>
      </w:r>
      <w:r w:rsidRPr="00A1528E" w:rsidR="00A1528E">
        <w:rPr>
          <w:noProof/>
          <w:sz w:val="24"/>
          <w:szCs w:val="24"/>
          <w:lang w:val="id-ID"/>
        </w:rPr>
        <w:t>[33]</w:t>
      </w:r>
      <w:r w:rsidRPr="001844ED" w:rsidR="001844ED">
        <w:rPr>
          <w:sz w:val="24"/>
          <w:szCs w:val="24"/>
          <w:lang w:val="id-ID"/>
        </w:rPr>
        <w:fldChar w:fldCharType="end"/>
      </w:r>
      <w:r w:rsidRPr="001844ED">
        <w:rPr>
          <w:sz w:val="24"/>
          <w:szCs w:val="24"/>
          <w:lang w:val="id-ID"/>
        </w:rPr>
        <w:t>.</w:t>
      </w:r>
    </w:p>
    <w:p w:rsidR="006243ED" w:rsidRPr="00A1528E" w:rsidP="006243ED" w14:paraId="716FC911" w14:textId="07FD4854">
      <w:pPr>
        <w:spacing w:before="117" w:line="275" w:lineRule="exact"/>
        <w:ind w:left="142" w:firstLine="709"/>
        <w:jc w:val="both"/>
        <w:rPr>
          <w:sz w:val="24"/>
          <w:szCs w:val="24"/>
          <w:lang w:val="id-ID"/>
        </w:rPr>
      </w:pPr>
      <w:r w:rsidRPr="00A1528E">
        <w:rPr>
          <w:sz w:val="24"/>
          <w:szCs w:val="24"/>
          <w:lang w:val="id-ID"/>
        </w:rPr>
        <w:t>Di sisi lain, kandungan karbon dioksida (CO₂) justru menunjukkan pola sebaliknya. Oli baru menghasilkan emisi CO₂ tertinggi sebesar 10%, diikuti oleh oli bekas sebesar 9%, dan yang paling rendah adalah minyak goreng bekas dengan 8%. Meskipun sekilas terlihat negatif, tingginya CO₂ justru menandakan bahwa bahan bakar tersebut mengalami pembakaran yang lebih sempurna. Ini karena CO₂ adalah hasil akhir dari proses oksidasi karbon dalam pembakaran yang ideal. Maka, emisi CO₂ yang tinggi justru menjadi indikator positif dalam konteks efisiensi pembakaran, meskipun tetap perlu dikontrol karena CO₂ merupakan gas rumah kaca</w:t>
      </w:r>
      <w:r w:rsidRPr="00A1528E" w:rsidR="001844ED">
        <w:rPr>
          <w:sz w:val="24"/>
          <w:szCs w:val="24"/>
          <w:lang w:val="id-ID"/>
        </w:rPr>
        <w:t xml:space="preserve"> </w:t>
      </w:r>
      <w:r w:rsidRPr="00A1528E" w:rsidR="00A1528E">
        <w:rPr>
          <w:sz w:val="24"/>
          <w:szCs w:val="24"/>
          <w:lang w:val="id-ID"/>
        </w:rPr>
        <w:fldChar w:fldCharType="begin" w:fldLock="1"/>
      </w:r>
      <w:r w:rsidR="00A1528E">
        <w:rPr>
          <w:sz w:val="24"/>
          <w:szCs w:val="24"/>
          <w:lang w:val="id-ID"/>
        </w:rPr>
        <w:instrText>ADDIN CSL_CITATION {"citationItems":[{"id":"ITEM-1","itemData":{"DOI":"10.3390/en16145427","ISSN":"19961073","abstract":"Fossil fuels confront the problem of strategic resource depletion since they have been continuously utilized for more than 200 years and cause serious damages to the ecological environment of the planet. In this work, the transesterification of castor plant oil was utilized to make biodiesel, and castor biodiesel’s physicochemical qualities were assessed. On a single-cylinder, four-stroke, water-cooled agricultural diesel engine, an experimental study was conducted to compare and analyze the engine performance and emission characteristics of diesel and biodiesel blends in various amounts. The B20, B40, B60, and B80 biodiesel blends were evaluated at different engine speeds (1200, 1400, 1600, and 1800 rpm) with a constant engine load (50%). According to the experimental findings, the brake thermal efficiency (BTE) declines as the engine speed rises, and the biodiesel fuel blend has a lower brake thermal efficiency (BTE) than diesel fuel because of its higher density and viscosity and lower calorific value. The amount of gasoline required to create power increases as the speed does, and the brake-specific fuel consumption (BSFC) trend is upward. Due to their low calorific value and high viscosity properties, biodiesel blends have a greater brake-specific fuel consumption (BSFC) than diesel. The fuel’s exhaust gas temperature (EGT) has an upward trend with an increased rotational speed. The biodiesel blend’s high cetane number shortens the ignition delay and lowers the exhaust gas temperature (EGT) compared to diesel. A fuel with oxygen added, biodiesel enhances combustion, increases the combustion temperature, speeds up the oxidation process, and lowers carbon monoxide (CO) and hydrocarbon emissions. B80 produces the lowest carbon monoxide and hydrocarbon emissions at 1800 rpm, at 0.33%, and 30 ppm, respectively. On the other hand, increased carbon dioxide (CO2) emissions result from a high oxygen concentration. In addition, compared to diesel fuel, biodiesel’s greater combustion temperature causes the creation of increased nitrogen oxide (NOx) emissions. According to the research findings, a castor biodiesel fuel blend is an excellent alternative fuel for engines since it can be utilized directly without modifying the current engine construction and has good engine and exhaust emission performance.","author":[{"dropping-particle":"","family":"Zheng","given":"Fangyuan","non-dropping-particle":"","parse-names":false,"suffix":""},{"dropping-particle":"","family":"Cho","given":"Haengmuk","non-dropping-particle":"","parse-names":false,"suffix":""}],"container-title":"Energies","id":"ITEM-1","issue":"14","issued":{"date-parts":[["2023"]]},"title":"Combustion and Emission of Castor Biofuel Blends in a Single-Cylinder Diesel Engine","type":"article-journal","volume":"16"},"uris":["http://www.mendeley.com/documents/?uuid=f8b05330-89ab-4de9-a7e7-fc457e340ef1"]}],"mendeley":{"formattedCitation":"[31]","plainTextFormattedCitation":"[31]","previouslyFormattedCitation":"(Zheng &amp; Cho, 2023)"},"properties":{"noteIndex":0},"schema":"https://github.com/citation-style-language/schema/raw/master/csl-citation.json"}</w:instrText>
      </w:r>
      <w:r w:rsidRPr="00A1528E" w:rsidR="00A1528E">
        <w:rPr>
          <w:sz w:val="24"/>
          <w:szCs w:val="24"/>
          <w:lang w:val="id-ID"/>
        </w:rPr>
        <w:fldChar w:fldCharType="separate"/>
      </w:r>
      <w:r w:rsidRPr="00A1528E" w:rsidR="00A1528E">
        <w:rPr>
          <w:noProof/>
          <w:sz w:val="24"/>
          <w:szCs w:val="24"/>
          <w:lang w:val="id-ID"/>
        </w:rPr>
        <w:t>[31]</w:t>
      </w:r>
      <w:r w:rsidRPr="00A1528E" w:rsidR="00A1528E">
        <w:rPr>
          <w:sz w:val="24"/>
          <w:szCs w:val="24"/>
          <w:lang w:val="id-ID"/>
        </w:rPr>
        <w:fldChar w:fldCharType="end"/>
      </w:r>
      <w:r w:rsidRPr="00A1528E" w:rsidR="00A1528E">
        <w:rPr>
          <w:sz w:val="24"/>
          <w:szCs w:val="24"/>
          <w:lang w:val="id-ID"/>
        </w:rPr>
        <w:t>-</w:t>
      </w:r>
      <w:r w:rsidRPr="00A1528E" w:rsidR="00A1528E">
        <w:rPr>
          <w:noProof/>
          <w:sz w:val="24"/>
          <w:szCs w:val="24"/>
          <w:lang w:val="id-ID"/>
        </w:rPr>
        <w:fldChar w:fldCharType="begin" w:fldLock="1"/>
      </w:r>
      <w:r w:rsidR="00A1528E">
        <w:rPr>
          <w:noProof/>
          <w:sz w:val="24"/>
          <w:szCs w:val="24"/>
          <w:lang w:val="id-ID"/>
        </w:rPr>
        <w:instrText>ADDIN CSL_CITATION {"citationItems":[{"id":"ITEM-1","itemData":{"DOI":"10.18517/ijaseit.9.5.3928","ISSN":"24606952","abstract":"There are two main categories of combustion condition in the car combustion engine chamber, they are complete and incomplete combustion condition. The complete combustion condition is obtained when a balance of fuel, airflow, and ignition in the combustion chamber occurred. It is characterized by the level of elements and compounds contained in the exhaust emissions. The dominant elements and compounds in exhaust emissions of the gasoline-fueled engine are Hydrocarbon (HC), Carbon Monoxide (CO), Carbon Dioxide (CO2) and Oxygen (O2). This study aims to establish a system that is capable of identifying the combustion category of automobile engine through exhaust emissions. This emissions data was procured using gas multi-sensor processed by a Fast Fourier Transform (FFT) process and constructed in the form of the data pattern. The identifying process of the combustion category was done by comparing the detected data pattern with a reference data pattern utilizing the Sum Square Error (SSE) method. Trials had been conducted on some gasoline and Pertalite cars for carburetor and injection systems. The trials result showed that the system accuracy in identifying the category of complete combustion was 87% and the incomplete combustion category was 77%.","author":[{"dropping-particle":"","family":"Andrizal","given":"","non-dropping-particle":"","parse-names":false,"suffix":""},{"dropping-particle":"","family":"Lifwarda","given":"","non-dropping-particle":"","parse-names":false,"suffix":""},{"dropping-particle":"","family":"Hidayat","given":"Anton","non-dropping-particle":"","parse-names":false,"suffix":""},{"dropping-particle":"","family":"Susanti","given":"Roza","non-dropping-particle":"","parse-names":false,"suffix":""},{"dropping-particle":"","family":"Alfitri","given":"Nadia","non-dropping-particle":"","parse-names":false,"suffix":""},{"dropping-particle":"","family":"Chadry","given":"Rivanol","non-dropping-particle":"","parse-names":false,"suffix":""}],"container-title":"International Journal on Advanced Science, Engineering and Information Technology","id":"ITEM-1","issue":"5","issued":{"date-parts":[["2019"]]},"page":"1512-1519","title":"The identification of Car Combustion engine category on exhaust emissions data pattern base using Sum Square Error Method","type":"article-journal","volume":"9"},"uris":["http://www.mendeley.com/documents/?uuid=1548c2d7-099b-4005-a925-7d43c547784d"]}],"mendeley":{"formattedCitation":"[32]","plainTextFormattedCitation":"[32]","previouslyFormattedCitation":"(Andrizal et al., 2019)"},"properties":{"noteIndex":0},"schema":"https://github.com/citation-style-language/schema/raw/master/csl-citation.json"}</w:instrText>
      </w:r>
      <w:r w:rsidRPr="00A1528E" w:rsidR="00A1528E">
        <w:rPr>
          <w:noProof/>
          <w:sz w:val="24"/>
          <w:szCs w:val="24"/>
          <w:lang w:val="id-ID"/>
        </w:rPr>
        <w:fldChar w:fldCharType="separate"/>
      </w:r>
      <w:r w:rsidRPr="00A1528E" w:rsidR="00A1528E">
        <w:rPr>
          <w:noProof/>
          <w:sz w:val="24"/>
          <w:szCs w:val="24"/>
          <w:lang w:val="id-ID"/>
        </w:rPr>
        <w:t>[32]</w:t>
      </w:r>
      <w:r w:rsidRPr="00A1528E" w:rsidR="00A1528E">
        <w:rPr>
          <w:noProof/>
          <w:sz w:val="24"/>
          <w:szCs w:val="24"/>
          <w:lang w:val="id-ID"/>
        </w:rPr>
        <w:fldChar w:fldCharType="end"/>
      </w:r>
      <w:r w:rsidRPr="00A1528E">
        <w:rPr>
          <w:sz w:val="24"/>
          <w:szCs w:val="24"/>
          <w:lang w:val="id-ID"/>
        </w:rPr>
        <w:t>.</w:t>
      </w:r>
    </w:p>
    <w:p w:rsidR="006243ED" w:rsidP="00A1528E" w14:paraId="688176C7" w14:textId="29E8372C">
      <w:pPr>
        <w:spacing w:before="120" w:after="120" w:line="275" w:lineRule="exact"/>
        <w:ind w:left="142" w:firstLine="709"/>
        <w:jc w:val="both"/>
        <w:rPr>
          <w:sz w:val="24"/>
          <w:szCs w:val="24"/>
          <w:lang w:val="id-ID"/>
        </w:rPr>
      </w:pPr>
      <w:r w:rsidRPr="00A1528E">
        <w:rPr>
          <w:sz w:val="24"/>
          <w:szCs w:val="24"/>
          <w:lang w:val="id-ID"/>
        </w:rPr>
        <w:t>Secara keseluruhan, oli baru terbukti menjadi bahan bakar dengan kinerja pembakaran paling efisien, menghasilkan emisi CO dan HC yang rendah serta CO₂ yang tinggi. Oli bekas berada di posisi menengah, dengan performa yang cukup baik meski tidak sebaik oli baru. Sementara itu, minyak goreng bekas menunjukkan performa yang paling rendah dalam hal efisiensi pembakaran, dengan emisi CO dan HC tertinggi serta CO₂ terendah. Dengan demikian, dari sisi lingkungan dan efisiensi energi, oli baru merupakan pilihan terbaik, meskipun penggunaannya perlu tetap mempertimbangkan faktor biaya dan keberlanjutan</w:t>
      </w:r>
      <w:r w:rsidRPr="00A1528E" w:rsidR="00E32917">
        <w:rPr>
          <w:sz w:val="24"/>
          <w:szCs w:val="24"/>
          <w:lang w:val="id-ID"/>
        </w:rPr>
        <w:t>nya</w:t>
      </w:r>
      <w:r w:rsidRPr="00A1528E" w:rsidR="00A1528E">
        <w:rPr>
          <w:sz w:val="24"/>
          <w:szCs w:val="24"/>
          <w:lang w:val="id-ID"/>
        </w:rPr>
        <w:t xml:space="preserve"> </w:t>
      </w:r>
      <w:r w:rsidRPr="00A1528E" w:rsidR="00A1528E">
        <w:rPr>
          <w:sz w:val="24"/>
          <w:szCs w:val="24"/>
          <w:lang w:val="id-ID"/>
        </w:rPr>
        <w:fldChar w:fldCharType="begin" w:fldLock="1"/>
      </w:r>
      <w:r w:rsidR="00A1528E">
        <w:rPr>
          <w:sz w:val="24"/>
          <w:szCs w:val="24"/>
          <w:lang w:val="id-ID"/>
        </w:rPr>
        <w:instrText>ADDIN CSL_CITATION {"citationItems":[{"id":"ITEM-1","itemData":{"DOI":"10.3390/en16145427","ISSN":"19961073","abstract":"Fossil fuels confront the problem of strategic resource depletion since they have been continuously utilized for more than 200 years and cause serious damages to the ecological environment of the planet. In this work, the transesterification of castor plant oil was utilized to make biodiesel, and castor biodiesel’s physicochemical qualities were assessed. On a single-cylinder, four-stroke, water-cooled agricultural diesel engine, an experimental study was conducted to compare and analyze the engine performance and emission characteristics of diesel and biodiesel blends in various amounts. The B20, B40, B60, and B80 biodiesel blends were evaluated at different engine speeds (1200, 1400, 1600, and 1800 rpm) with a constant engine load (50%). According to the experimental findings, the brake thermal efficiency (BTE) declines as the engine speed rises, and the biodiesel fuel blend has a lower brake thermal efficiency (BTE) than diesel fuel because of its higher density and viscosity and lower calorific value. The amount of gasoline required to create power increases as the speed does, and the brake-specific fuel consumption (BSFC) trend is upward. Due to their low calorific value and high viscosity properties, biodiesel blends have a greater brake-specific fuel consumption (BSFC) than diesel. The fuel’s exhaust gas temperature (EGT) has an upward trend with an increased rotational speed. The biodiesel blend’s high cetane number shortens the ignition delay and lowers the exhaust gas temperature (EGT) compared to diesel. A fuel with oxygen added, biodiesel enhances combustion, increases the combustion temperature, speeds up the oxidation process, and lowers carbon monoxide (CO) and hydrocarbon emissions. B80 produces the lowest carbon monoxide and hydrocarbon emissions at 1800 rpm, at 0.33%, and 30 ppm, respectively. On the other hand, increased carbon dioxide (CO2) emissions result from a high oxygen concentration. In addition, compared to diesel fuel, biodiesel’s greater combustion temperature causes the creation of increased nitrogen oxide (NOx) emissions. According to the research findings, a castor biodiesel fuel blend is an excellent alternative fuel for engines since it can be utilized directly without modifying the current engine construction and has good engine and exhaust emission performance.","author":[{"dropping-particle":"","family":"Zheng","given":"Fangyuan","non-dropping-particle":"","parse-names":false,"suffix":""},{"dropping-particle":"","family":"Cho","given":"Haengmuk","non-dropping-particle":"","parse-names":false,"suffix":""}],"container-title":"Energies","id":"ITEM-1","issue":"14","issued":{"date-parts":[["2023"]]},"title":"Combustion and Emission of Castor Biofuel Blends in a Single-Cylinder Diesel Engine","type":"article-journal","volume":"16"},"uris":["http://www.mendeley.com/documents/?uuid=f8b05330-89ab-4de9-a7e7-fc457e340ef1"]}],"mendeley":{"formattedCitation":"[31]","plainTextFormattedCitation":"[31]","previouslyFormattedCitation":"(Zheng &amp; Cho, 2023)"},"properties":{"noteIndex":0},"schema":"https://github.com/citation-style-language/schema/raw/master/csl-citation.json"}</w:instrText>
      </w:r>
      <w:r w:rsidRPr="00A1528E" w:rsidR="00A1528E">
        <w:rPr>
          <w:sz w:val="24"/>
          <w:szCs w:val="24"/>
          <w:lang w:val="id-ID"/>
        </w:rPr>
        <w:fldChar w:fldCharType="separate"/>
      </w:r>
      <w:r w:rsidRPr="00A1528E" w:rsidR="00A1528E">
        <w:rPr>
          <w:noProof/>
          <w:sz w:val="24"/>
          <w:szCs w:val="24"/>
          <w:lang w:val="id-ID"/>
        </w:rPr>
        <w:t>[31]</w:t>
      </w:r>
      <w:r w:rsidRPr="00A1528E" w:rsidR="00A1528E">
        <w:rPr>
          <w:sz w:val="24"/>
          <w:szCs w:val="24"/>
          <w:lang w:val="id-ID"/>
        </w:rPr>
        <w:fldChar w:fldCharType="end"/>
      </w:r>
      <w:r w:rsidR="00817407">
        <w:rPr>
          <w:sz w:val="24"/>
          <w:szCs w:val="24"/>
          <w:lang w:val="id-ID"/>
        </w:rPr>
        <w:t>-</w:t>
      </w:r>
      <w:r w:rsidR="00A1528E">
        <w:rPr>
          <w:sz w:val="24"/>
          <w:szCs w:val="24"/>
          <w:lang w:val="id-ID"/>
        </w:rPr>
        <w:fldChar w:fldCharType="begin" w:fldLock="1"/>
      </w:r>
      <w:r w:rsidR="00A1528E">
        <w:rPr>
          <w:sz w:val="24"/>
          <w:szCs w:val="24"/>
          <w:lang w:val="id-ID"/>
        </w:rPr>
        <w:instrText>ADDIN CSL_CITATION {"citationItems":[{"id":"ITEM-1","itemData":{"DOI":"10.4028/www.scientific.net/amm.773-774.425","abstract":" The depletion of fossil fuels as well as the rises of greenhouse gases had caused most government worldwide to follow the international energy policies for the use of biodiesel. One of the economical sources for biodiesel production is waste cooking oil. The use of waste cooking oil is more sustainable if they can perform similarly to conventional diesel fuel. This paper deals with the experimental study carried out to evaluate the engine performance and exhaust emission of diesel engine operated by biodiesel from waste cooking oil at various engine speed. The biodiesel used are known as B5, which contains of 5% of waste cooking oil and 95% of diesel fuel. The other one is B20, which contains of 20% of waste cooking oil plus 80% of diesel. Diesel was used as a comparison purposes. The results show that power and torque for B5 give the closest trend to diesel. In terms of heat release, diesel still dominates the highest value compared to B5 and B20. For exhaust emission, B5 and B20 showed improvement in the reduction of NO x and PM. ","author":[{"dropping-particle":"","family":"Ramlan","given":"Nur Atiqah","non-dropping-particle":"","parse-names":false,"suffix":""},{"dropping-particle":"","family":"Abdullah","given":"Abdul Adam","non-dropping-particle":"","parse-names":false,"suffix":""},{"dropping-particle":"","family":"Hamzah","given":"Mohd Herzwan","non-dropping-particle":"","parse-names":false,"suffix":""},{"dropping-particle":"","family":"Jaharudin","given":"Nur Fauziah","non-dropping-particle":"","parse-names":false,"suffix":""},{"dropping-particle":"","family":"Mamat","given":"Rizalman","non-dropping-particle":"","parse-names":false,"suffix":""}],"container-title":"Applied Mechanics and Materials","id":"ITEM-1","issue":"x","issued":{"date-parts":[["2015"]]},"page":"425-429","title":"Evaluation of Diesel Engine Performance and Exhaust Emission Characteristics Using Waste Cooking Oil","type":"article-journal","volume":"773-774"},"uris":["http://www.mendeley.com/documents/?uuid=daac190a-4d92-4902-910f-261e28bedf11"]}],"mendeley":{"formattedCitation":"[33]","plainTextFormattedCitation":"[33]","previouslyFormattedCitation":"(Ramlan et al., 2015)"},"properties":{"noteIndex":0},"schema":"https://github.com/citation-style-language/schema/raw/master/csl-citation.json"}</w:instrText>
      </w:r>
      <w:r w:rsidR="00A1528E">
        <w:rPr>
          <w:sz w:val="24"/>
          <w:szCs w:val="24"/>
          <w:lang w:val="id-ID"/>
        </w:rPr>
        <w:fldChar w:fldCharType="separate"/>
      </w:r>
      <w:r w:rsidRPr="00A1528E" w:rsidR="00A1528E">
        <w:rPr>
          <w:noProof/>
          <w:sz w:val="24"/>
          <w:szCs w:val="24"/>
          <w:lang w:val="id-ID"/>
        </w:rPr>
        <w:t>[33]</w:t>
      </w:r>
      <w:r w:rsidR="00A1528E">
        <w:rPr>
          <w:sz w:val="24"/>
          <w:szCs w:val="24"/>
          <w:lang w:val="id-ID"/>
        </w:rPr>
        <w:fldChar w:fldCharType="end"/>
      </w:r>
      <w:r w:rsidRPr="00A1528E">
        <w:rPr>
          <w:sz w:val="24"/>
          <w:szCs w:val="24"/>
          <w:lang w:val="id-ID"/>
        </w:rPr>
        <w:t>.</w:t>
      </w:r>
    </w:p>
    <w:p w:rsidR="009B488E" w:rsidP="00A1528E" w14:paraId="3C87518B" w14:textId="77777777">
      <w:pPr>
        <w:spacing w:before="120" w:after="120" w:line="275" w:lineRule="exact"/>
        <w:ind w:left="142" w:firstLine="709"/>
        <w:jc w:val="both"/>
        <w:rPr>
          <w:sz w:val="24"/>
          <w:szCs w:val="24"/>
          <w:lang w:val="id-ID"/>
        </w:rPr>
      </w:pPr>
    </w:p>
    <w:p w:rsidR="00063611" w14:paraId="3823663C" w14:textId="77777777">
      <w:pPr>
        <w:pStyle w:val="Heading1"/>
        <w:numPr>
          <w:ilvl w:val="0"/>
          <w:numId w:val="1"/>
        </w:numPr>
        <w:tabs>
          <w:tab w:val="left" w:pos="448"/>
        </w:tabs>
        <w:ind w:left="448" w:hanging="283"/>
      </w:pPr>
      <w:r>
        <w:rPr>
          <w:spacing w:val="-2"/>
        </w:rPr>
        <w:t>Kesimpulan</w:t>
      </w:r>
    </w:p>
    <w:p w:rsidR="00E32917" w:rsidRPr="00E32917" w:rsidP="00E32917" w14:paraId="63A271C9" w14:textId="6159F2C8">
      <w:pPr>
        <w:pStyle w:val="BodyText"/>
        <w:spacing w:before="113"/>
        <w:ind w:left="165" w:right="38" w:firstLine="710"/>
        <w:rPr>
          <w:lang w:val="id-ID"/>
        </w:rPr>
      </w:pPr>
      <w:r w:rsidRPr="00E32917">
        <w:rPr>
          <w:lang w:val="id-ID"/>
        </w:rPr>
        <w:t xml:space="preserve">Berdasarkan hasil penelitian, dapat disimpulkan bahwa jenis bahan bakar berpengaruh signifikan terhadap efisiensi termal kompor. Dari ketiga variasi bahan bakar yang diuji, oli baru menunjukkan efisiensi termal tertinggi sebesar 56,16%, diikuti oleh oli bekas sebesar 55,52%, dan minyak goreng bekas sebesar 54,51%. Efisiensi yang tinggi pada oli baru disebabkan oleh kualitas bahan bakar yang lebih murni dan stabil, sehingga mampu menghasilkan laju produksi uap lebih besar dan meminimalkan kehilangan energi akibat pembakaran tidak sempurna. </w:t>
      </w:r>
    </w:p>
    <w:p w:rsidR="00E32917" w:rsidRPr="00E32917" w:rsidP="00E32917" w14:paraId="69F40AE0" w14:textId="52C3C63C">
      <w:pPr>
        <w:pStyle w:val="BodyText"/>
        <w:spacing w:before="113"/>
        <w:ind w:left="165" w:right="38" w:firstLine="710"/>
        <w:rPr>
          <w:lang w:val="id-ID"/>
        </w:rPr>
      </w:pPr>
      <w:r w:rsidRPr="00E32917">
        <w:rPr>
          <w:lang w:val="id-ID"/>
        </w:rPr>
        <w:t>Dalam aspek distribusi temperatur api, oli baru juga menunjukkan performa termal terbaik. Temperatur maksimum yang dihasilkan mencapai 1094°C, dengan distribusi panas yang merata dan area temperatur tinggi yang luas serta stabil. Hasil ini menunjukkan bahwa oli baru tidak hanya lebih efisien dalam memproduksi uap, tetapi juga lebih stabil dalam mempertahankan panas.</w:t>
      </w:r>
    </w:p>
    <w:p w:rsidR="00E32917" w:rsidRPr="00E32917" w:rsidP="00E32917" w14:paraId="525231EE" w14:textId="529D5D18">
      <w:pPr>
        <w:pStyle w:val="BodyText"/>
        <w:spacing w:before="113"/>
        <w:ind w:left="165" w:right="38" w:firstLine="710"/>
        <w:rPr>
          <w:lang w:val="id-ID"/>
        </w:rPr>
      </w:pPr>
      <w:r w:rsidRPr="00E32917">
        <w:rPr>
          <w:lang w:val="id-ID"/>
        </w:rPr>
        <w:t xml:space="preserve">Dari segi emisi gas buang, oli baru </w:t>
      </w:r>
      <w:r>
        <w:rPr>
          <w:lang w:val="id-ID"/>
        </w:rPr>
        <w:t xml:space="preserve">juga </w:t>
      </w:r>
      <w:r w:rsidRPr="00E32917">
        <w:rPr>
          <w:lang w:val="id-ID"/>
        </w:rPr>
        <w:t xml:space="preserve">menunjukkan performa paling bersih dengan emisi CO dan HC paling rendah, masing-masing sebesar 2,24% dan 24,4 ppm. Selain itu, emisi CO₂ yang dihasilkan mencapai 10%, menandakan pembakaran yang lebih sempurna. Dengan demikian, dari ketiga aspek yang diuji—efisiensi termal, distribusi temperatur api, dan emisi gas buang—oli baru terbukti menjadi bahan bakar paling unggul dan berpotensi digunakan sebagai </w:t>
      </w:r>
      <w:r>
        <w:rPr>
          <w:lang w:val="id-ID"/>
        </w:rPr>
        <w:t xml:space="preserve">energi </w:t>
      </w:r>
      <w:r w:rsidRPr="00E32917">
        <w:rPr>
          <w:lang w:val="id-ID"/>
        </w:rPr>
        <w:t>alternatif yang lebih ramah lingkungan dan efisien</w:t>
      </w:r>
      <w:r>
        <w:rPr>
          <w:lang w:val="id-ID"/>
        </w:rPr>
        <w:t>.</w:t>
      </w:r>
    </w:p>
    <w:p w:rsidR="00E32917" w:rsidRPr="00685E9E" w:rsidP="00E32917" w14:paraId="2EE737C2" w14:textId="45FCDD50">
      <w:pPr>
        <w:pStyle w:val="BodyText"/>
        <w:numPr>
          <w:ilvl w:val="0"/>
          <w:numId w:val="1"/>
        </w:numPr>
        <w:spacing w:before="113"/>
        <w:ind w:left="426" w:right="38"/>
        <w:rPr>
          <w:b/>
          <w:bCs/>
        </w:rPr>
      </w:pPr>
      <w:r w:rsidRPr="00685E9E">
        <w:rPr>
          <w:b/>
          <w:bCs/>
        </w:rPr>
        <w:t>UCAPAN TERIMA KASIH</w:t>
      </w:r>
    </w:p>
    <w:p w:rsidR="00685E9E" w:rsidP="00685E9E" w14:paraId="1BE14FA1" w14:textId="64F62A2E">
      <w:pPr>
        <w:pStyle w:val="BodyText"/>
        <w:spacing w:before="113"/>
        <w:ind w:left="142" w:right="38" w:firstLine="402"/>
      </w:pPr>
      <w:r>
        <w:t xml:space="preserve">Peneliti menyampaikan ucapan terima kasih kepada Majelis Dikti Litbang Pimpinan Pusat Muahmmadiyah, yang telah mendanai penelitian ini dengan skema </w:t>
      </w:r>
      <w:r w:rsidRPr="00CE47B6" w:rsidR="00CE47B6">
        <w:t xml:space="preserve">Hibah </w:t>
      </w:r>
      <w:r>
        <w:t xml:space="preserve">Riset Nasional Muhammadiyah Batch VIII Tahun 2024, Nomor kontrak: </w:t>
      </w:r>
      <w:r w:rsidRPr="00685E9E">
        <w:t>0258.072/I.3/D/2025</w:t>
      </w:r>
      <w:r w:rsidRPr="00CE47B6" w:rsidR="00CE47B6">
        <w:t xml:space="preserve">, Tanggal </w:t>
      </w:r>
      <w:r>
        <w:t>6 Januari 2025.</w:t>
      </w:r>
    </w:p>
    <w:p w:rsidR="00F827CC" w:rsidP="00BA6EA3" w14:paraId="0CEB114C" w14:textId="0A4A5C6C">
      <w:pPr>
        <w:pStyle w:val="Heading1"/>
        <w:spacing w:before="120" w:after="120"/>
        <w:ind w:left="164"/>
        <w:jc w:val="left"/>
        <w:rPr>
          <w:spacing w:val="-2"/>
        </w:rPr>
      </w:pPr>
      <w:r>
        <w:rPr>
          <w:spacing w:val="-2"/>
        </w:rPr>
        <w:t>Referensi</w:t>
      </w:r>
    </w:p>
    <w:p w:rsidR="00A1528E" w:rsidRPr="00A1528E" w:rsidP="00BA6EA3" w14:paraId="7210C1E2" w14:textId="22FE653C">
      <w:pPr>
        <w:adjustRightInd w:val="0"/>
        <w:ind w:left="640" w:hanging="640"/>
        <w:jc w:val="both"/>
        <w:rPr>
          <w:noProof/>
          <w:sz w:val="24"/>
        </w:rPr>
      </w:pPr>
      <w:r>
        <w:fldChar w:fldCharType="begin" w:fldLock="1"/>
      </w:r>
      <w:r>
        <w:instrText xml:space="preserve">ADDIN Mendeley Bibliography CSL_BIBLIOGRAPHY </w:instrText>
      </w:r>
      <w:r>
        <w:fldChar w:fldCharType="separate"/>
      </w:r>
      <w:r w:rsidRPr="00A1528E">
        <w:rPr>
          <w:noProof/>
          <w:sz w:val="24"/>
        </w:rPr>
        <w:t>[1]</w:t>
      </w:r>
      <w:r w:rsidRPr="00A1528E">
        <w:rPr>
          <w:noProof/>
          <w:sz w:val="24"/>
        </w:rPr>
        <w:tab/>
        <w:t xml:space="preserve">M. Qasim, T. M. Ansari, and M. Hussain, “Emissions and performance characteristics of a diesel engine operated with fuel blends obtained from a mixture </w:t>
      </w:r>
      <w:r w:rsidRPr="00A1528E">
        <w:rPr>
          <w:noProof/>
          <w:sz w:val="24"/>
        </w:rPr>
        <w:t xml:space="preserve">of pretreated waste engine oil and waste vegetable oil methyl esters,” </w:t>
      </w:r>
      <w:r w:rsidRPr="00A1528E">
        <w:rPr>
          <w:i/>
          <w:iCs/>
          <w:noProof/>
          <w:sz w:val="24"/>
        </w:rPr>
        <w:t>Environ. Prog. Sustain. Energy</w:t>
      </w:r>
      <w:r w:rsidRPr="00A1528E">
        <w:rPr>
          <w:noProof/>
          <w:sz w:val="24"/>
        </w:rPr>
        <w:t>, vol. 37, no. 6, pp. 2148–2155, 2018, doi: 10.1002/ep.12891.</w:t>
      </w:r>
    </w:p>
    <w:p w:rsidR="00A1528E" w:rsidRPr="00A1528E" w:rsidP="00BA6EA3" w14:paraId="07EAE6A1" w14:textId="77777777">
      <w:pPr>
        <w:adjustRightInd w:val="0"/>
        <w:ind w:left="640" w:hanging="640"/>
        <w:jc w:val="both"/>
        <w:rPr>
          <w:noProof/>
          <w:sz w:val="24"/>
        </w:rPr>
      </w:pPr>
      <w:r w:rsidRPr="00A1528E">
        <w:rPr>
          <w:noProof/>
          <w:sz w:val="24"/>
        </w:rPr>
        <w:t>[2]</w:t>
      </w:r>
      <w:r w:rsidRPr="00A1528E">
        <w:rPr>
          <w:noProof/>
          <w:sz w:val="24"/>
        </w:rPr>
        <w:tab/>
        <w:t>S. Ð. 2 and T. Ð. Dragiša Ðor ¯di´c 1,*, Milan Miloti´c 2, Zoran ´Curguz 2, “Experimental Testing of Combustion Parameters and Emissions of Waste Motor Oil and Its Diesel Mixtures,” 2021.</w:t>
      </w:r>
    </w:p>
    <w:p w:rsidR="00A1528E" w:rsidRPr="00A1528E" w:rsidP="00BA6EA3" w14:paraId="599E54C7" w14:textId="77777777">
      <w:pPr>
        <w:adjustRightInd w:val="0"/>
        <w:ind w:left="640" w:hanging="640"/>
        <w:jc w:val="both"/>
        <w:rPr>
          <w:noProof/>
          <w:sz w:val="24"/>
        </w:rPr>
      </w:pPr>
      <w:r w:rsidRPr="00A1528E">
        <w:rPr>
          <w:noProof/>
          <w:sz w:val="24"/>
        </w:rPr>
        <w:t>[3]</w:t>
      </w:r>
      <w:r w:rsidRPr="00A1528E">
        <w:rPr>
          <w:noProof/>
          <w:sz w:val="24"/>
        </w:rPr>
        <w:tab/>
        <w:t xml:space="preserve">A. Khalid </w:t>
      </w:r>
      <w:r w:rsidRPr="00A1528E">
        <w:rPr>
          <w:i/>
          <w:iCs/>
          <w:noProof/>
          <w:sz w:val="24"/>
        </w:rPr>
        <w:t>et al.</w:t>
      </w:r>
      <w:r w:rsidRPr="00A1528E">
        <w:rPr>
          <w:noProof/>
          <w:sz w:val="24"/>
        </w:rPr>
        <w:t xml:space="preserve">, “Effects of biodiesel derived by waste cooking oil on fuel consumption and performance of diesel engine,” </w:t>
      </w:r>
      <w:r w:rsidRPr="00A1528E">
        <w:rPr>
          <w:i/>
          <w:iCs/>
          <w:noProof/>
          <w:sz w:val="24"/>
        </w:rPr>
        <w:t>Appl. Mech. Mater.</w:t>
      </w:r>
      <w:r w:rsidRPr="00A1528E">
        <w:rPr>
          <w:noProof/>
          <w:sz w:val="24"/>
        </w:rPr>
        <w:t>, vol. 554, pp. 520–525, 2014, doi: 10.4028/www.scientific.net/AMM.554.520.</w:t>
      </w:r>
    </w:p>
    <w:p w:rsidR="00A1528E" w:rsidRPr="00A1528E" w:rsidP="00BA6EA3" w14:paraId="2A27292A" w14:textId="77777777">
      <w:pPr>
        <w:adjustRightInd w:val="0"/>
        <w:ind w:left="640" w:hanging="640"/>
        <w:jc w:val="both"/>
        <w:rPr>
          <w:noProof/>
          <w:sz w:val="24"/>
        </w:rPr>
      </w:pPr>
      <w:r w:rsidRPr="00A1528E">
        <w:rPr>
          <w:noProof/>
          <w:sz w:val="24"/>
        </w:rPr>
        <w:t>[4]</w:t>
      </w:r>
      <w:r w:rsidRPr="00A1528E">
        <w:rPr>
          <w:noProof/>
          <w:sz w:val="24"/>
        </w:rPr>
        <w:tab/>
        <w:t xml:space="preserve">A. Mahfouz, “Effect of Waste Cooking - Diesel Oils Blends on Performance, Emissions and Combustion Characteristics of Industrial Oil Burner,” </w:t>
      </w:r>
      <w:r w:rsidRPr="00A1528E">
        <w:rPr>
          <w:i/>
          <w:iCs/>
          <w:noProof/>
          <w:sz w:val="24"/>
        </w:rPr>
        <w:t>Int. J. Res. Appl. Sci. Eng. Technol.</w:t>
      </w:r>
      <w:r w:rsidRPr="00A1528E">
        <w:rPr>
          <w:noProof/>
          <w:sz w:val="24"/>
        </w:rPr>
        <w:t>, vol. V, no. IX, pp. 1264–1274, 2017, doi: 10.22214/ijraset.2017.9182.</w:t>
      </w:r>
    </w:p>
    <w:p w:rsidR="00A1528E" w:rsidRPr="00A1528E" w:rsidP="00BA6EA3" w14:paraId="3B63060D" w14:textId="77777777">
      <w:pPr>
        <w:adjustRightInd w:val="0"/>
        <w:ind w:left="640" w:hanging="640"/>
        <w:jc w:val="both"/>
        <w:rPr>
          <w:noProof/>
          <w:sz w:val="24"/>
        </w:rPr>
      </w:pPr>
      <w:r w:rsidRPr="00A1528E">
        <w:rPr>
          <w:noProof/>
          <w:sz w:val="24"/>
        </w:rPr>
        <w:t>[5]</w:t>
      </w:r>
      <w:r w:rsidRPr="00A1528E">
        <w:rPr>
          <w:noProof/>
          <w:sz w:val="24"/>
        </w:rPr>
        <w:tab/>
        <w:t xml:space="preserve">M. Mourad and E. H. Noureldenn, “Benefits of exhaust gas energy for preheating biodiesel fuel to enhance engine emissions and performance,” </w:t>
      </w:r>
      <w:r w:rsidRPr="00A1528E">
        <w:rPr>
          <w:i/>
          <w:iCs/>
          <w:noProof/>
          <w:sz w:val="24"/>
        </w:rPr>
        <w:t>J. Mech. Energy Eng.</w:t>
      </w:r>
      <w:r w:rsidRPr="00A1528E">
        <w:rPr>
          <w:noProof/>
          <w:sz w:val="24"/>
        </w:rPr>
        <w:t>, vol. 3, no. 2, pp. 157–168, 2019, doi: 10.30464/jmee.2019.3.2.157.</w:t>
      </w:r>
    </w:p>
    <w:p w:rsidR="00A1528E" w:rsidRPr="00A1528E" w:rsidP="00BA6EA3" w14:paraId="60EBF9BC" w14:textId="77777777">
      <w:pPr>
        <w:adjustRightInd w:val="0"/>
        <w:ind w:left="640" w:hanging="640"/>
        <w:jc w:val="both"/>
        <w:rPr>
          <w:noProof/>
          <w:sz w:val="24"/>
        </w:rPr>
      </w:pPr>
      <w:r w:rsidRPr="00A1528E">
        <w:rPr>
          <w:noProof/>
          <w:sz w:val="24"/>
        </w:rPr>
        <w:t>[6]</w:t>
      </w:r>
      <w:r w:rsidRPr="00A1528E">
        <w:rPr>
          <w:noProof/>
          <w:sz w:val="24"/>
        </w:rPr>
        <w:tab/>
        <w:t xml:space="preserve">I. Saad, W. H. A. Rashid, and N. H. Saidon, “Effect of adding RON97 into waste cooking oil as an alternative fuel for diesel engine,” </w:t>
      </w:r>
      <w:r w:rsidRPr="00A1528E">
        <w:rPr>
          <w:i/>
          <w:iCs/>
          <w:noProof/>
          <w:sz w:val="24"/>
        </w:rPr>
        <w:t>Int. J. Eng. Technol.</w:t>
      </w:r>
      <w:r w:rsidRPr="00A1528E">
        <w:rPr>
          <w:noProof/>
          <w:sz w:val="24"/>
        </w:rPr>
        <w:t>, vol. 7, no. 3, pp. 113–116, 2018, doi: 10.14419/ijet.v7i3.11.15941.</w:t>
      </w:r>
    </w:p>
    <w:p w:rsidR="00A1528E" w:rsidRPr="00A1528E" w:rsidP="00BA6EA3" w14:paraId="57D89968" w14:textId="77777777">
      <w:pPr>
        <w:adjustRightInd w:val="0"/>
        <w:ind w:left="640" w:hanging="640"/>
        <w:jc w:val="both"/>
        <w:rPr>
          <w:noProof/>
          <w:sz w:val="24"/>
        </w:rPr>
      </w:pPr>
      <w:r w:rsidRPr="00A1528E">
        <w:rPr>
          <w:noProof/>
          <w:sz w:val="24"/>
        </w:rPr>
        <w:t>[7]</w:t>
      </w:r>
      <w:r w:rsidRPr="00A1528E">
        <w:rPr>
          <w:noProof/>
          <w:sz w:val="24"/>
        </w:rPr>
        <w:tab/>
        <w:t xml:space="preserve">C. Kaewbuddee </w:t>
      </w:r>
      <w:r w:rsidRPr="00A1528E">
        <w:rPr>
          <w:i/>
          <w:iCs/>
          <w:noProof/>
          <w:sz w:val="24"/>
        </w:rPr>
        <w:t>et al.</w:t>
      </w:r>
      <w:r w:rsidRPr="00A1528E">
        <w:rPr>
          <w:noProof/>
          <w:sz w:val="24"/>
        </w:rPr>
        <w:t xml:space="preserve">, “Evaluation of waste plastic oil-biodiesel blends as alternative fuels for diesel engines,” </w:t>
      </w:r>
      <w:r w:rsidRPr="00A1528E">
        <w:rPr>
          <w:i/>
          <w:iCs/>
          <w:noProof/>
          <w:sz w:val="24"/>
        </w:rPr>
        <w:t>Energies</w:t>
      </w:r>
      <w:r w:rsidRPr="00A1528E">
        <w:rPr>
          <w:noProof/>
          <w:sz w:val="24"/>
        </w:rPr>
        <w:t>, vol. 13, no. 11, pp. 1–16, 2020, doi: 10.3390/en13112823.</w:t>
      </w:r>
    </w:p>
    <w:p w:rsidR="00A1528E" w:rsidRPr="00A1528E" w:rsidP="00BA6EA3" w14:paraId="2B820B24" w14:textId="77777777">
      <w:pPr>
        <w:adjustRightInd w:val="0"/>
        <w:ind w:left="640" w:hanging="640"/>
        <w:jc w:val="both"/>
        <w:rPr>
          <w:noProof/>
          <w:sz w:val="24"/>
        </w:rPr>
      </w:pPr>
      <w:r w:rsidRPr="00A1528E">
        <w:rPr>
          <w:noProof/>
          <w:sz w:val="24"/>
        </w:rPr>
        <w:t>[8]</w:t>
      </w:r>
      <w:r w:rsidRPr="00A1528E">
        <w:rPr>
          <w:noProof/>
          <w:sz w:val="24"/>
        </w:rPr>
        <w:tab/>
        <w:t xml:space="preserve">M. Gad, “Performance and Emission Analysis of a Diesel Engine Burning Biodiesel from Waste Cooking Oil,” </w:t>
      </w:r>
      <w:r w:rsidRPr="00A1528E">
        <w:rPr>
          <w:i/>
          <w:iCs/>
          <w:noProof/>
          <w:sz w:val="24"/>
        </w:rPr>
        <w:t>Int. Conf. Aerosp. Sci. Aviat. Technol.</w:t>
      </w:r>
      <w:r w:rsidRPr="00A1528E">
        <w:rPr>
          <w:noProof/>
          <w:sz w:val="24"/>
        </w:rPr>
        <w:t>, vol. 16, no. AEROSPACE SCIENCES, pp. 1–13, 2015, doi: 10.21608/asat.2015.22928.</w:t>
      </w:r>
    </w:p>
    <w:p w:rsidR="00A1528E" w:rsidRPr="00A1528E" w:rsidP="00BA6EA3" w14:paraId="36F22E2F" w14:textId="77777777">
      <w:pPr>
        <w:adjustRightInd w:val="0"/>
        <w:ind w:left="640" w:hanging="640"/>
        <w:jc w:val="both"/>
        <w:rPr>
          <w:noProof/>
          <w:sz w:val="24"/>
        </w:rPr>
      </w:pPr>
      <w:r w:rsidRPr="00A1528E">
        <w:rPr>
          <w:noProof/>
          <w:sz w:val="24"/>
        </w:rPr>
        <w:t>[9]</w:t>
      </w:r>
      <w:r w:rsidRPr="00A1528E">
        <w:rPr>
          <w:noProof/>
          <w:sz w:val="24"/>
        </w:rPr>
        <w:tab/>
        <w:t xml:space="preserve">M. Said Farag, “Experimental </w:t>
      </w:r>
      <w:r w:rsidRPr="00A1528E">
        <w:rPr>
          <w:noProof/>
          <w:sz w:val="24"/>
        </w:rPr>
        <w:t xml:space="preserve">Investigation of Diesel Engine Emissions Using Blends of Waste Vegetable Oils,” </w:t>
      </w:r>
      <w:r w:rsidRPr="00A1528E">
        <w:rPr>
          <w:i/>
          <w:iCs/>
          <w:noProof/>
          <w:sz w:val="24"/>
        </w:rPr>
        <w:t>JES. J. Eng. Sci.</w:t>
      </w:r>
      <w:r w:rsidRPr="00A1528E">
        <w:rPr>
          <w:noProof/>
          <w:sz w:val="24"/>
        </w:rPr>
        <w:t>, vol. 51, no. 2, pp. 37–52, 2023, doi: 10.21608/jesaun.2023.166107.1169.</w:t>
      </w:r>
    </w:p>
    <w:p w:rsidR="00A1528E" w:rsidRPr="00A1528E" w:rsidP="00BA6EA3" w14:paraId="03E28D35" w14:textId="77777777">
      <w:pPr>
        <w:adjustRightInd w:val="0"/>
        <w:ind w:left="640" w:hanging="640"/>
        <w:jc w:val="both"/>
        <w:rPr>
          <w:noProof/>
          <w:sz w:val="24"/>
        </w:rPr>
      </w:pPr>
      <w:r w:rsidRPr="00A1528E">
        <w:rPr>
          <w:noProof/>
          <w:sz w:val="24"/>
        </w:rPr>
        <w:t>[10]</w:t>
      </w:r>
      <w:r w:rsidRPr="00A1528E">
        <w:rPr>
          <w:noProof/>
          <w:sz w:val="24"/>
        </w:rPr>
        <w:tab/>
        <w:t xml:space="preserve">R. Niculescu, A. Clenci, and V. Iorga-Siman, “Review on the use of diesel-biodiesel-alcohol blends in compression ignition engines,” </w:t>
      </w:r>
      <w:r w:rsidRPr="00A1528E">
        <w:rPr>
          <w:i/>
          <w:iCs/>
          <w:noProof/>
          <w:sz w:val="24"/>
        </w:rPr>
        <w:t>Energies</w:t>
      </w:r>
      <w:r w:rsidRPr="00A1528E">
        <w:rPr>
          <w:noProof/>
          <w:sz w:val="24"/>
        </w:rPr>
        <w:t>, vol. 12, no. 7, pp. 1–41, 2019, doi: 10.3390/en12071194.</w:t>
      </w:r>
    </w:p>
    <w:p w:rsidR="00A1528E" w:rsidRPr="00A1528E" w:rsidP="00BA6EA3" w14:paraId="254FCC59" w14:textId="77777777">
      <w:pPr>
        <w:adjustRightInd w:val="0"/>
        <w:ind w:left="640" w:hanging="640"/>
        <w:jc w:val="both"/>
        <w:rPr>
          <w:noProof/>
          <w:sz w:val="24"/>
        </w:rPr>
      </w:pPr>
      <w:r w:rsidRPr="00A1528E">
        <w:rPr>
          <w:noProof/>
          <w:sz w:val="24"/>
        </w:rPr>
        <w:t>[11]</w:t>
      </w:r>
      <w:r w:rsidRPr="00A1528E">
        <w:rPr>
          <w:noProof/>
          <w:sz w:val="24"/>
        </w:rPr>
        <w:tab/>
        <w:t xml:space="preserve">M. Suardi, N. Azman, D. Samsudin, N. Mansor, and A. Khalid, “Analysis of Emulsified Renewable Fuel Injector in Burner Combustion: An Overview,” </w:t>
      </w:r>
      <w:r w:rsidRPr="00A1528E">
        <w:rPr>
          <w:i/>
          <w:iCs/>
          <w:noProof/>
          <w:sz w:val="24"/>
        </w:rPr>
        <w:t>Appl. Mech. Mater.</w:t>
      </w:r>
      <w:r w:rsidRPr="00A1528E">
        <w:rPr>
          <w:noProof/>
          <w:sz w:val="24"/>
        </w:rPr>
        <w:t>, vol. 773–774, pp. 565–569, 2015, doi: 10.4028/www.scientific.net/amm.773-774.565.</w:t>
      </w:r>
    </w:p>
    <w:p w:rsidR="00A1528E" w:rsidRPr="00A1528E" w:rsidP="00BA6EA3" w14:paraId="015F3E9D" w14:textId="77777777">
      <w:pPr>
        <w:adjustRightInd w:val="0"/>
        <w:ind w:left="640" w:hanging="640"/>
        <w:jc w:val="both"/>
        <w:rPr>
          <w:noProof/>
          <w:sz w:val="24"/>
        </w:rPr>
      </w:pPr>
      <w:r w:rsidRPr="00A1528E">
        <w:rPr>
          <w:noProof/>
          <w:sz w:val="24"/>
        </w:rPr>
        <w:t>[12]</w:t>
      </w:r>
      <w:r w:rsidRPr="00A1528E">
        <w:rPr>
          <w:noProof/>
          <w:sz w:val="24"/>
        </w:rPr>
        <w:tab/>
        <w:t xml:space="preserve">S. Zadmajid, S. Albert-Green, Y. Afarin, and M. J. Thomson, “Optimizing a Swirl Burner for Pyrolysis Liquid Biofuel (Bio-oil) Combustion without Blending,” </w:t>
      </w:r>
      <w:r w:rsidRPr="00A1528E">
        <w:rPr>
          <w:i/>
          <w:iCs/>
          <w:noProof/>
          <w:sz w:val="24"/>
        </w:rPr>
        <w:t>Energy and Fuels</w:t>
      </w:r>
      <w:r w:rsidRPr="00A1528E">
        <w:rPr>
          <w:noProof/>
          <w:sz w:val="24"/>
        </w:rPr>
        <w:t>, vol. 31, no. 6, pp. 6065–6079, 2017, doi: 10.1021/acs.energyfuels.6b03417.</w:t>
      </w:r>
    </w:p>
    <w:p w:rsidR="00A1528E" w:rsidRPr="00A1528E" w:rsidP="00BA6EA3" w14:paraId="3DF1BD11" w14:textId="77777777">
      <w:pPr>
        <w:adjustRightInd w:val="0"/>
        <w:ind w:left="640" w:hanging="640"/>
        <w:jc w:val="both"/>
        <w:rPr>
          <w:noProof/>
          <w:sz w:val="24"/>
        </w:rPr>
      </w:pPr>
      <w:r w:rsidRPr="00A1528E">
        <w:rPr>
          <w:noProof/>
          <w:sz w:val="24"/>
        </w:rPr>
        <w:t>[13]</w:t>
      </w:r>
      <w:r w:rsidRPr="00A1528E">
        <w:rPr>
          <w:noProof/>
          <w:sz w:val="24"/>
        </w:rPr>
        <w:tab/>
        <w:t xml:space="preserve">B. Özdalyan and R. Orman, “Experimental investigation of the use of waste mineral oils as a fuel with organic-based mn additive,” </w:t>
      </w:r>
      <w:r w:rsidRPr="00A1528E">
        <w:rPr>
          <w:i/>
          <w:iCs/>
          <w:noProof/>
          <w:sz w:val="24"/>
        </w:rPr>
        <w:t>Energies</w:t>
      </w:r>
      <w:r w:rsidRPr="00A1528E">
        <w:rPr>
          <w:noProof/>
          <w:sz w:val="24"/>
        </w:rPr>
        <w:t>, vol. 11, no. 6, 2018, doi: 10.3390/en11061512.</w:t>
      </w:r>
    </w:p>
    <w:p w:rsidR="00A1528E" w:rsidRPr="00A1528E" w:rsidP="00BA6EA3" w14:paraId="7DEEF935" w14:textId="77777777">
      <w:pPr>
        <w:adjustRightInd w:val="0"/>
        <w:ind w:left="640" w:hanging="640"/>
        <w:jc w:val="both"/>
        <w:rPr>
          <w:noProof/>
          <w:sz w:val="24"/>
        </w:rPr>
      </w:pPr>
      <w:r w:rsidRPr="00A1528E">
        <w:rPr>
          <w:noProof/>
          <w:sz w:val="24"/>
        </w:rPr>
        <w:t>[14]</w:t>
      </w:r>
      <w:r w:rsidRPr="00A1528E">
        <w:rPr>
          <w:noProof/>
          <w:sz w:val="24"/>
        </w:rPr>
        <w:tab/>
        <w:t xml:space="preserve">M. N. Nabi, M. S. Akhter, and M. A. Rahman, “Waste transformer oil as an alternative fuel for diesel engine,” </w:t>
      </w:r>
      <w:r w:rsidRPr="00A1528E">
        <w:rPr>
          <w:i/>
          <w:iCs/>
          <w:noProof/>
          <w:sz w:val="24"/>
        </w:rPr>
        <w:t>Procedia Eng.</w:t>
      </w:r>
      <w:r w:rsidRPr="00A1528E">
        <w:rPr>
          <w:noProof/>
          <w:sz w:val="24"/>
        </w:rPr>
        <w:t>, vol. 56, pp. 401–406, 2013, doi: 10.1016/j.proeng.2013.03.139.</w:t>
      </w:r>
    </w:p>
    <w:p w:rsidR="00A1528E" w:rsidRPr="00A1528E" w:rsidP="00BA6EA3" w14:paraId="53DB6F39" w14:textId="77777777">
      <w:pPr>
        <w:adjustRightInd w:val="0"/>
        <w:ind w:left="640" w:hanging="640"/>
        <w:jc w:val="both"/>
        <w:rPr>
          <w:noProof/>
          <w:sz w:val="24"/>
        </w:rPr>
      </w:pPr>
      <w:r w:rsidRPr="00A1528E">
        <w:rPr>
          <w:noProof/>
          <w:sz w:val="24"/>
        </w:rPr>
        <w:t>[15]</w:t>
      </w:r>
      <w:r w:rsidRPr="00A1528E">
        <w:rPr>
          <w:noProof/>
          <w:sz w:val="24"/>
        </w:rPr>
        <w:tab/>
        <w:t xml:space="preserve">A. Widodo, Sudarno, S. Soeparman, and S. Wahyudi, “The effect of finned heat reflector materials and diameters on the efficiency and temperature distribution of liquefied petroleum gas stove,” </w:t>
      </w:r>
      <w:r w:rsidRPr="00A1528E">
        <w:rPr>
          <w:i/>
          <w:iCs/>
          <w:noProof/>
          <w:sz w:val="24"/>
        </w:rPr>
        <w:t>Results Eng.</w:t>
      </w:r>
      <w:r w:rsidRPr="00A1528E">
        <w:rPr>
          <w:noProof/>
          <w:sz w:val="24"/>
        </w:rPr>
        <w:t>, vol. 16, 2022, doi: 10.1016/j.rineng.2022.100658.</w:t>
      </w:r>
    </w:p>
    <w:p w:rsidR="00A1528E" w:rsidRPr="00A1528E" w:rsidP="00BA6EA3" w14:paraId="2446B90C" w14:textId="77777777">
      <w:pPr>
        <w:adjustRightInd w:val="0"/>
        <w:ind w:left="640" w:hanging="640"/>
        <w:jc w:val="both"/>
        <w:rPr>
          <w:noProof/>
          <w:sz w:val="24"/>
        </w:rPr>
      </w:pPr>
      <w:r w:rsidRPr="00A1528E">
        <w:rPr>
          <w:noProof/>
          <w:sz w:val="24"/>
        </w:rPr>
        <w:t>[16]</w:t>
      </w:r>
      <w:r w:rsidRPr="00A1528E">
        <w:rPr>
          <w:noProof/>
          <w:sz w:val="24"/>
        </w:rPr>
        <w:tab/>
        <w:t xml:space="preserve">“Effect of the ember element in increasing the efficiency of LPG stoves, JAES (Sudarno, dkk, 2021).pdf.” </w:t>
      </w:r>
    </w:p>
    <w:p w:rsidR="00A1528E" w:rsidRPr="00A1528E" w:rsidP="00BA6EA3" w14:paraId="4835C4F2" w14:textId="77777777">
      <w:pPr>
        <w:adjustRightInd w:val="0"/>
        <w:ind w:left="640" w:hanging="640"/>
        <w:jc w:val="both"/>
        <w:rPr>
          <w:noProof/>
          <w:sz w:val="24"/>
        </w:rPr>
      </w:pPr>
      <w:r w:rsidRPr="00A1528E">
        <w:rPr>
          <w:noProof/>
          <w:sz w:val="24"/>
        </w:rPr>
        <w:t>[17]</w:t>
      </w:r>
      <w:r w:rsidRPr="00A1528E">
        <w:rPr>
          <w:noProof/>
          <w:sz w:val="24"/>
        </w:rPr>
        <w:tab/>
        <w:t xml:space="preserve">S. Sudarno, F. Fadelan, W. A. Setyatinika, and Y. Winardi, “the Effect of Fuel Preheating on the Performance of Used Oil Fuel Stoves,” </w:t>
      </w:r>
      <w:r w:rsidRPr="00A1528E">
        <w:rPr>
          <w:i/>
          <w:iCs/>
          <w:noProof/>
          <w:sz w:val="24"/>
        </w:rPr>
        <w:t>J. Appl. Eng. Sci.</w:t>
      </w:r>
      <w:r w:rsidRPr="00A1528E">
        <w:rPr>
          <w:noProof/>
          <w:sz w:val="24"/>
        </w:rPr>
        <w:t>, pp. 1–9, 2024, doi: 10.5937/jaes0-48185.</w:t>
      </w:r>
    </w:p>
    <w:p w:rsidR="00A1528E" w:rsidRPr="00A1528E" w:rsidP="00BA6EA3" w14:paraId="51D14B9C" w14:textId="77777777">
      <w:pPr>
        <w:adjustRightInd w:val="0"/>
        <w:ind w:left="640" w:hanging="640"/>
        <w:jc w:val="both"/>
        <w:rPr>
          <w:noProof/>
          <w:sz w:val="24"/>
        </w:rPr>
      </w:pPr>
      <w:r w:rsidRPr="00A1528E">
        <w:rPr>
          <w:noProof/>
          <w:sz w:val="24"/>
        </w:rPr>
        <w:t>[18]</w:t>
      </w:r>
      <w:r w:rsidRPr="00A1528E">
        <w:rPr>
          <w:noProof/>
          <w:sz w:val="24"/>
        </w:rPr>
        <w:tab/>
        <w:t xml:space="preserve">Sudarno, S. Soeparman, S. Wahyudi, and A. S. Widodo, “Construction of a Finned </w:t>
      </w:r>
      <w:r w:rsidRPr="00A1528E">
        <w:rPr>
          <w:noProof/>
          <w:sz w:val="24"/>
        </w:rPr>
        <w:t xml:space="preserve">Heat Radiation Reflector for Improved Efficiency of Liquefied Petroleum Gas Stoves,” </w:t>
      </w:r>
      <w:r w:rsidRPr="00A1528E">
        <w:rPr>
          <w:i/>
          <w:iCs/>
          <w:noProof/>
          <w:sz w:val="24"/>
        </w:rPr>
        <w:t>Int. J. Technol.</w:t>
      </w:r>
      <w:r w:rsidRPr="00A1528E">
        <w:rPr>
          <w:noProof/>
          <w:sz w:val="24"/>
        </w:rPr>
        <w:t>, vol. 12, no. 1, 2021, doi: 10.14716/ijtech.v12i1.3958.</w:t>
      </w:r>
    </w:p>
    <w:p w:rsidR="00A1528E" w:rsidRPr="00A1528E" w:rsidP="00BA6EA3" w14:paraId="654E7563" w14:textId="77777777">
      <w:pPr>
        <w:adjustRightInd w:val="0"/>
        <w:ind w:left="640" w:hanging="640"/>
        <w:jc w:val="both"/>
        <w:rPr>
          <w:noProof/>
          <w:sz w:val="24"/>
        </w:rPr>
      </w:pPr>
      <w:r w:rsidRPr="00A1528E">
        <w:rPr>
          <w:noProof/>
          <w:sz w:val="24"/>
        </w:rPr>
        <w:t>[19]</w:t>
      </w:r>
      <w:r w:rsidRPr="00A1528E">
        <w:rPr>
          <w:noProof/>
          <w:sz w:val="24"/>
        </w:rPr>
        <w:tab/>
        <w:t xml:space="preserve">Suhartono, Suharto, and A. E. Ahyati, “The properties of vegetable cooking oil as a fuel and its utilization in a modified pressurized cooking stove,” </w:t>
      </w:r>
      <w:r w:rsidRPr="00A1528E">
        <w:rPr>
          <w:i/>
          <w:iCs/>
          <w:noProof/>
          <w:sz w:val="24"/>
        </w:rPr>
        <w:t>IOP Conf. Ser. Earth Environ. Sci.</w:t>
      </w:r>
      <w:r w:rsidRPr="00A1528E">
        <w:rPr>
          <w:noProof/>
          <w:sz w:val="24"/>
        </w:rPr>
        <w:t>, vol. 105, no. 1, 2018, doi: 10.1088/1755-1315/105/1/012047.</w:t>
      </w:r>
    </w:p>
    <w:p w:rsidR="00A1528E" w:rsidRPr="00A1528E" w:rsidP="00BA6EA3" w14:paraId="0DFA4F61" w14:textId="77777777">
      <w:pPr>
        <w:adjustRightInd w:val="0"/>
        <w:ind w:left="640" w:hanging="640"/>
        <w:jc w:val="both"/>
        <w:rPr>
          <w:noProof/>
          <w:sz w:val="24"/>
        </w:rPr>
      </w:pPr>
      <w:r w:rsidRPr="00A1528E">
        <w:rPr>
          <w:noProof/>
          <w:sz w:val="24"/>
        </w:rPr>
        <w:t>[20]</w:t>
      </w:r>
      <w:r w:rsidRPr="00A1528E">
        <w:rPr>
          <w:noProof/>
          <w:sz w:val="24"/>
        </w:rPr>
        <w:tab/>
        <w:t xml:space="preserve">Y. Bai </w:t>
      </w:r>
      <w:r w:rsidRPr="00A1528E">
        <w:rPr>
          <w:i/>
          <w:iCs/>
          <w:noProof/>
          <w:sz w:val="24"/>
        </w:rPr>
        <w:t>et al.</w:t>
      </w:r>
      <w:r w:rsidRPr="00A1528E">
        <w:rPr>
          <w:noProof/>
          <w:sz w:val="24"/>
        </w:rPr>
        <w:t xml:space="preserve">, “Combustion properties and pollutant analysis of coal-blended bio-heavy oil fuel,” </w:t>
      </w:r>
      <w:r w:rsidRPr="00A1528E">
        <w:rPr>
          <w:i/>
          <w:iCs/>
          <w:noProof/>
          <w:sz w:val="24"/>
        </w:rPr>
        <w:t>RSC Adv.</w:t>
      </w:r>
      <w:r w:rsidRPr="00A1528E">
        <w:rPr>
          <w:noProof/>
          <w:sz w:val="24"/>
        </w:rPr>
        <w:t>, vol. 14, no. 7, pp. 4362–4368, 2024, doi: 10.1039/d3ra08748d.</w:t>
      </w:r>
    </w:p>
    <w:p w:rsidR="00A1528E" w:rsidRPr="00A1528E" w:rsidP="00BA6EA3" w14:paraId="56C3EBBE" w14:textId="77777777">
      <w:pPr>
        <w:adjustRightInd w:val="0"/>
        <w:ind w:left="640" w:hanging="640"/>
        <w:jc w:val="both"/>
        <w:rPr>
          <w:noProof/>
          <w:sz w:val="24"/>
        </w:rPr>
      </w:pPr>
      <w:r w:rsidRPr="00A1528E">
        <w:rPr>
          <w:noProof/>
          <w:sz w:val="24"/>
        </w:rPr>
        <w:t>[21]</w:t>
      </w:r>
      <w:r w:rsidRPr="00A1528E">
        <w:rPr>
          <w:noProof/>
          <w:sz w:val="24"/>
        </w:rPr>
        <w:tab/>
        <w:t xml:space="preserve">D. K. Hameed, “Effects of Vehicle Mileage Rate on Engine Oil Properties,” </w:t>
      </w:r>
      <w:r w:rsidRPr="00A1528E">
        <w:rPr>
          <w:i/>
          <w:iCs/>
          <w:noProof/>
          <w:sz w:val="24"/>
        </w:rPr>
        <w:t>Passer J. Basic Appl. Sci.</w:t>
      </w:r>
      <w:r w:rsidRPr="00A1528E">
        <w:rPr>
          <w:noProof/>
          <w:sz w:val="24"/>
        </w:rPr>
        <w:t>, vol. 5, no. 1, pp. 59–64, 2023, doi: 10.24271/PSR.2023.376018.1191.</w:t>
      </w:r>
    </w:p>
    <w:p w:rsidR="00A1528E" w:rsidRPr="00A1528E" w:rsidP="00BA6EA3" w14:paraId="3537B802" w14:textId="77777777">
      <w:pPr>
        <w:adjustRightInd w:val="0"/>
        <w:ind w:left="640" w:hanging="640"/>
        <w:jc w:val="both"/>
        <w:rPr>
          <w:noProof/>
          <w:sz w:val="24"/>
        </w:rPr>
      </w:pPr>
      <w:r w:rsidRPr="00A1528E">
        <w:rPr>
          <w:noProof/>
          <w:sz w:val="24"/>
        </w:rPr>
        <w:t>[22]</w:t>
      </w:r>
      <w:r w:rsidRPr="00A1528E">
        <w:rPr>
          <w:noProof/>
          <w:sz w:val="24"/>
        </w:rPr>
        <w:tab/>
        <w:t>A. EPA, PCIA, “The Water Boiling Test,” vol. 4.2.3, no. March, p. 86, 2014, [Online]. Available: http://www.cleancookstoves.org/our-work/standards-and-testing/learn-about-testing-protocols/</w:t>
      </w:r>
    </w:p>
    <w:p w:rsidR="00A1528E" w:rsidRPr="00A1528E" w:rsidP="00BA6EA3" w14:paraId="359AF25A" w14:textId="77777777">
      <w:pPr>
        <w:adjustRightInd w:val="0"/>
        <w:ind w:left="640" w:hanging="640"/>
        <w:jc w:val="both"/>
        <w:rPr>
          <w:noProof/>
          <w:sz w:val="24"/>
        </w:rPr>
      </w:pPr>
      <w:r w:rsidRPr="00A1528E">
        <w:rPr>
          <w:noProof/>
          <w:sz w:val="24"/>
        </w:rPr>
        <w:t>[23]</w:t>
      </w:r>
      <w:r w:rsidRPr="00A1528E">
        <w:rPr>
          <w:noProof/>
          <w:sz w:val="24"/>
        </w:rPr>
        <w:tab/>
        <w:t xml:space="preserve">S. Sudarno, S. Soeparman, S. Wahyudi, and A. S. Widodo, “Effect of the ember element in increasing the efficiency of liquefied petroleum gas stoves,” </w:t>
      </w:r>
      <w:r w:rsidRPr="00A1528E">
        <w:rPr>
          <w:i/>
          <w:iCs/>
          <w:noProof/>
          <w:sz w:val="24"/>
        </w:rPr>
        <w:t>J. Appl. Eng. Sci.</w:t>
      </w:r>
      <w:r w:rsidRPr="00A1528E">
        <w:rPr>
          <w:noProof/>
          <w:sz w:val="24"/>
        </w:rPr>
        <w:t>, vol. 19, no. 2, 2021, doi: 10.5937/jaes0-28385.</w:t>
      </w:r>
    </w:p>
    <w:p w:rsidR="00A1528E" w:rsidRPr="00A1528E" w:rsidP="00BA6EA3" w14:paraId="1450476E" w14:textId="77777777">
      <w:pPr>
        <w:adjustRightInd w:val="0"/>
        <w:ind w:left="640" w:hanging="640"/>
        <w:jc w:val="both"/>
        <w:rPr>
          <w:noProof/>
          <w:sz w:val="24"/>
        </w:rPr>
      </w:pPr>
      <w:r w:rsidRPr="00A1528E">
        <w:rPr>
          <w:noProof/>
          <w:sz w:val="24"/>
        </w:rPr>
        <w:t>[24]</w:t>
      </w:r>
      <w:r w:rsidRPr="00A1528E">
        <w:rPr>
          <w:noProof/>
          <w:sz w:val="24"/>
        </w:rPr>
        <w:tab/>
        <w:t xml:space="preserve">A. M. P. Sudarno, Kuntang Winangun, “Pengaruh Modifikasi Kampas Kopling Terhadap Torsi, Daya Dan Emisi Gas Buang Pada Kendaraan Yamaha New V-Ixion 150cc,” </w:t>
      </w:r>
      <w:r w:rsidRPr="00A1528E">
        <w:rPr>
          <w:i/>
          <w:iCs/>
          <w:noProof/>
          <w:sz w:val="24"/>
        </w:rPr>
        <w:t>J. Autom.</w:t>
      </w:r>
      <w:r w:rsidRPr="00A1528E">
        <w:rPr>
          <w:noProof/>
          <w:sz w:val="24"/>
        </w:rPr>
        <w:t>, vol. 02, pp. 11–18, 2022.</w:t>
      </w:r>
    </w:p>
    <w:p w:rsidR="00A1528E" w:rsidRPr="00A1528E" w:rsidP="00BA6EA3" w14:paraId="66D10D8B" w14:textId="77777777">
      <w:pPr>
        <w:adjustRightInd w:val="0"/>
        <w:ind w:left="640" w:hanging="640"/>
        <w:jc w:val="both"/>
        <w:rPr>
          <w:noProof/>
          <w:sz w:val="24"/>
        </w:rPr>
      </w:pPr>
      <w:r w:rsidRPr="00A1528E">
        <w:rPr>
          <w:noProof/>
          <w:sz w:val="24"/>
        </w:rPr>
        <w:t>[25]</w:t>
      </w:r>
      <w:r w:rsidRPr="00A1528E">
        <w:rPr>
          <w:noProof/>
          <w:sz w:val="24"/>
        </w:rPr>
        <w:tab/>
        <w:t xml:space="preserve">Y. Ji, B. Li, Z. Han, J. Wang, Z. Li, and B. Li, “Study on Flow Characteristics of Flue Gas and Steam Co-Injection for Heavy Oil Recovery,” </w:t>
      </w:r>
      <w:r w:rsidRPr="00A1528E">
        <w:rPr>
          <w:i/>
          <w:iCs/>
          <w:noProof/>
          <w:sz w:val="24"/>
        </w:rPr>
        <w:t>Processes</w:t>
      </w:r>
      <w:r w:rsidRPr="00A1528E">
        <w:rPr>
          <w:noProof/>
          <w:sz w:val="24"/>
        </w:rPr>
        <w:t>, vol. 11, no. 5, 2023, doi: 10.3390/pr11051406.</w:t>
      </w:r>
    </w:p>
    <w:p w:rsidR="00A1528E" w:rsidRPr="00A1528E" w:rsidP="00BA6EA3" w14:paraId="7D016B61" w14:textId="77777777">
      <w:pPr>
        <w:adjustRightInd w:val="0"/>
        <w:ind w:left="640" w:hanging="640"/>
        <w:jc w:val="both"/>
        <w:rPr>
          <w:noProof/>
          <w:sz w:val="24"/>
        </w:rPr>
      </w:pPr>
      <w:r w:rsidRPr="00A1528E">
        <w:rPr>
          <w:noProof/>
          <w:sz w:val="24"/>
        </w:rPr>
        <w:t>[26]</w:t>
      </w:r>
      <w:r w:rsidRPr="00A1528E">
        <w:rPr>
          <w:noProof/>
          <w:sz w:val="24"/>
        </w:rPr>
        <w:tab/>
        <w:t xml:space="preserve">J. K. Donnelly, “Best process for Cold Lake: CSS vs. SAGD,” </w:t>
      </w:r>
      <w:r w:rsidRPr="00A1528E">
        <w:rPr>
          <w:i/>
          <w:iCs/>
          <w:noProof/>
          <w:sz w:val="24"/>
        </w:rPr>
        <w:t>J. Can. Pet. Technol.</w:t>
      </w:r>
      <w:r w:rsidRPr="00A1528E">
        <w:rPr>
          <w:noProof/>
          <w:sz w:val="24"/>
        </w:rPr>
        <w:t>, vol. 39, no. 8, pp. 5–7, 2000, doi: 10.2118/00-08-tn.</w:t>
      </w:r>
    </w:p>
    <w:p w:rsidR="00A1528E" w:rsidRPr="00A1528E" w:rsidP="00BA6EA3" w14:paraId="3A8158EE" w14:textId="77777777">
      <w:pPr>
        <w:adjustRightInd w:val="0"/>
        <w:ind w:left="640" w:hanging="640"/>
        <w:jc w:val="both"/>
        <w:rPr>
          <w:noProof/>
          <w:sz w:val="24"/>
        </w:rPr>
      </w:pPr>
      <w:r w:rsidRPr="00A1528E">
        <w:rPr>
          <w:noProof/>
          <w:sz w:val="24"/>
        </w:rPr>
        <w:t>[27]</w:t>
      </w:r>
      <w:r w:rsidRPr="00A1528E">
        <w:rPr>
          <w:noProof/>
          <w:sz w:val="24"/>
        </w:rPr>
        <w:tab/>
        <w:t xml:space="preserve">W. Xu, Z. Chen, J. Shan, and Y. Sun, “Studies and pilot project on steam stimulation with multiple fluids for </w:t>
      </w:r>
      <w:r w:rsidRPr="00A1528E">
        <w:rPr>
          <w:noProof/>
          <w:sz w:val="24"/>
        </w:rPr>
        <w:t xml:space="preserve">offshore heavy oil reservoirs,” </w:t>
      </w:r>
      <w:r w:rsidRPr="00A1528E">
        <w:rPr>
          <w:i/>
          <w:iCs/>
          <w:noProof/>
          <w:sz w:val="24"/>
        </w:rPr>
        <w:t>Soc. Pet. Eng. - SPE Heavy Oil Conf. Canada 2013</w:t>
      </w:r>
      <w:r w:rsidRPr="00A1528E">
        <w:rPr>
          <w:noProof/>
          <w:sz w:val="24"/>
        </w:rPr>
        <w:t>, vol. 1, no. March 2010, pp. 1–15, 2013, doi: 10.2118/165383-ms.</w:t>
      </w:r>
    </w:p>
    <w:p w:rsidR="00A1528E" w:rsidRPr="00A1528E" w:rsidP="00BA6EA3" w14:paraId="0F3D837F" w14:textId="77777777">
      <w:pPr>
        <w:adjustRightInd w:val="0"/>
        <w:ind w:left="640" w:hanging="640"/>
        <w:jc w:val="both"/>
        <w:rPr>
          <w:noProof/>
          <w:sz w:val="24"/>
        </w:rPr>
      </w:pPr>
      <w:r w:rsidRPr="00A1528E">
        <w:rPr>
          <w:noProof/>
          <w:sz w:val="24"/>
        </w:rPr>
        <w:t>[28]</w:t>
      </w:r>
      <w:r w:rsidRPr="00A1528E">
        <w:rPr>
          <w:noProof/>
          <w:sz w:val="24"/>
        </w:rPr>
        <w:tab/>
        <w:t xml:space="preserve">A. Dutt and A. Mandal, “Modified analytical model for prediction of steam flood performance,” </w:t>
      </w:r>
      <w:r w:rsidRPr="00A1528E">
        <w:rPr>
          <w:i/>
          <w:iCs/>
          <w:noProof/>
          <w:sz w:val="24"/>
        </w:rPr>
        <w:t>J. Pet. Explor. Prod. Technol.</w:t>
      </w:r>
      <w:r w:rsidRPr="00A1528E">
        <w:rPr>
          <w:noProof/>
          <w:sz w:val="24"/>
        </w:rPr>
        <w:t>, vol. 2, no. 3, pp. 117–123, 2012, doi: 10.1007/s13202-012-0027-9.</w:t>
      </w:r>
    </w:p>
    <w:p w:rsidR="00A1528E" w:rsidRPr="00A1528E" w:rsidP="00BA6EA3" w14:paraId="45EA5B3B" w14:textId="77777777">
      <w:pPr>
        <w:adjustRightInd w:val="0"/>
        <w:ind w:left="640" w:hanging="640"/>
        <w:jc w:val="both"/>
        <w:rPr>
          <w:noProof/>
          <w:sz w:val="24"/>
        </w:rPr>
      </w:pPr>
      <w:r w:rsidRPr="00A1528E">
        <w:rPr>
          <w:noProof/>
          <w:sz w:val="24"/>
        </w:rPr>
        <w:t>[29]</w:t>
      </w:r>
      <w:r w:rsidRPr="00A1528E">
        <w:rPr>
          <w:noProof/>
          <w:sz w:val="24"/>
        </w:rPr>
        <w:tab/>
        <w:t xml:space="preserve">M. Umami, I. Irawan, and T. Prasetyo, “Identifying the potential of waste cooking oil, waste lubricating oil, and tar as alternative fuel for bioethanol processing stoves,” </w:t>
      </w:r>
      <w:r w:rsidRPr="00A1528E">
        <w:rPr>
          <w:i/>
          <w:iCs/>
          <w:noProof/>
          <w:sz w:val="24"/>
        </w:rPr>
        <w:t>Mech. Today</w:t>
      </w:r>
      <w:r w:rsidRPr="00A1528E">
        <w:rPr>
          <w:noProof/>
          <w:sz w:val="24"/>
        </w:rPr>
        <w:t>, vol. 4, no. 2, pp. 34–45, 2023, doi: 10.1088/1742-6596/2972/1/012012.</w:t>
      </w:r>
    </w:p>
    <w:p w:rsidR="00A1528E" w:rsidRPr="00A1528E" w:rsidP="00BA6EA3" w14:paraId="4ABAB3D6" w14:textId="77777777">
      <w:pPr>
        <w:adjustRightInd w:val="0"/>
        <w:ind w:left="640" w:hanging="640"/>
        <w:jc w:val="both"/>
        <w:rPr>
          <w:noProof/>
          <w:sz w:val="24"/>
        </w:rPr>
      </w:pPr>
      <w:r w:rsidRPr="00A1528E">
        <w:rPr>
          <w:noProof/>
          <w:sz w:val="24"/>
        </w:rPr>
        <w:t>[30]</w:t>
      </w:r>
      <w:r w:rsidRPr="00A1528E">
        <w:rPr>
          <w:noProof/>
          <w:sz w:val="24"/>
        </w:rPr>
        <w:tab/>
        <w:t xml:space="preserve">N. Hikmah, “Pengolahan Minyak Jelantah Sebagai Pengganti Bahan Bakar Minyak Pada Kompor Minyak Bertekanan,” </w:t>
      </w:r>
      <w:r w:rsidRPr="00A1528E">
        <w:rPr>
          <w:i/>
          <w:iCs/>
          <w:noProof/>
          <w:sz w:val="24"/>
        </w:rPr>
        <w:t>EduMatSains  J. Pendidikan, Mat. dan Sains</w:t>
      </w:r>
      <w:r w:rsidRPr="00A1528E">
        <w:rPr>
          <w:noProof/>
          <w:sz w:val="24"/>
        </w:rPr>
        <w:t>, vol. 7, no. 1, pp. 65–76, 2022, doi: 10.33541/edumatsains.v7i1.3869.</w:t>
      </w:r>
    </w:p>
    <w:p w:rsidR="00A1528E" w:rsidRPr="00A1528E" w:rsidP="00BA6EA3" w14:paraId="7791E491" w14:textId="77777777">
      <w:pPr>
        <w:adjustRightInd w:val="0"/>
        <w:ind w:left="640" w:hanging="640"/>
        <w:jc w:val="both"/>
        <w:rPr>
          <w:noProof/>
          <w:sz w:val="24"/>
        </w:rPr>
      </w:pPr>
      <w:r w:rsidRPr="00A1528E">
        <w:rPr>
          <w:noProof/>
          <w:sz w:val="24"/>
        </w:rPr>
        <w:t>[31]</w:t>
      </w:r>
      <w:r w:rsidRPr="00A1528E">
        <w:rPr>
          <w:noProof/>
          <w:sz w:val="24"/>
        </w:rPr>
        <w:tab/>
        <w:t xml:space="preserve">F. Zheng and H. Cho, “Combustion and Emission of Castor Biofuel Blends in a Single-Cylinder Diesel Engine,” </w:t>
      </w:r>
      <w:r w:rsidRPr="00A1528E">
        <w:rPr>
          <w:i/>
          <w:iCs/>
          <w:noProof/>
          <w:sz w:val="24"/>
        </w:rPr>
        <w:t>Energies</w:t>
      </w:r>
      <w:r w:rsidRPr="00A1528E">
        <w:rPr>
          <w:noProof/>
          <w:sz w:val="24"/>
        </w:rPr>
        <w:t>, vol. 16, no. 14, 2023, doi: 10.3390/en16145427.</w:t>
      </w:r>
    </w:p>
    <w:p w:rsidR="00A1528E" w:rsidRPr="00A1528E" w:rsidP="00BA6EA3" w14:paraId="32FA87FC" w14:textId="77777777">
      <w:pPr>
        <w:adjustRightInd w:val="0"/>
        <w:ind w:left="640" w:hanging="640"/>
        <w:jc w:val="both"/>
        <w:rPr>
          <w:noProof/>
          <w:sz w:val="24"/>
        </w:rPr>
      </w:pPr>
      <w:r w:rsidRPr="00A1528E">
        <w:rPr>
          <w:noProof/>
          <w:sz w:val="24"/>
        </w:rPr>
        <w:t>[32]</w:t>
      </w:r>
      <w:r w:rsidRPr="00A1528E">
        <w:rPr>
          <w:noProof/>
          <w:sz w:val="24"/>
        </w:rPr>
        <w:tab/>
        <w:t xml:space="preserve">Andrizal, Lifwarda, A. Hidayat, R. Susanti, N. Alfitri, and R. Chadry, “The identification of Car Combustion engine category on exhaust emissions data pattern base using Sum Square Error Method,” </w:t>
      </w:r>
      <w:r w:rsidRPr="00A1528E">
        <w:rPr>
          <w:i/>
          <w:iCs/>
          <w:noProof/>
          <w:sz w:val="24"/>
        </w:rPr>
        <w:t>Int. J. Adv. Sci. Eng. Inf. Technol.</w:t>
      </w:r>
      <w:r w:rsidRPr="00A1528E">
        <w:rPr>
          <w:noProof/>
          <w:sz w:val="24"/>
        </w:rPr>
        <w:t>, vol. 9, no. 5, pp. 1512–1519, 2019, doi: 10.18517/ijaseit.9.5.3928.</w:t>
      </w:r>
    </w:p>
    <w:p w:rsidR="00A1528E" w:rsidP="00BA6EA3" w14:paraId="503FAB62" w14:textId="77777777">
      <w:pPr>
        <w:adjustRightInd w:val="0"/>
        <w:ind w:left="640" w:hanging="640"/>
        <w:jc w:val="both"/>
        <w:rPr>
          <w:noProof/>
          <w:sz w:val="24"/>
        </w:rPr>
      </w:pPr>
      <w:r w:rsidRPr="00A1528E">
        <w:rPr>
          <w:noProof/>
          <w:sz w:val="24"/>
        </w:rPr>
        <w:t>[33]</w:t>
      </w:r>
      <w:r w:rsidRPr="00A1528E">
        <w:rPr>
          <w:noProof/>
          <w:sz w:val="24"/>
        </w:rPr>
        <w:tab/>
        <w:t xml:space="preserve">N. A. Ramlan, A. A. Abdullah, M. H. Hamzah, N. F. Jaharudin, and R. Mamat, “Evaluation of Diesel Engine Performance and Exhaust Emission Characteristics Using Waste Cooking Oil,” </w:t>
      </w:r>
      <w:r w:rsidRPr="00A1528E">
        <w:rPr>
          <w:i/>
          <w:iCs/>
          <w:noProof/>
          <w:sz w:val="24"/>
        </w:rPr>
        <w:t>Appl. Mech. Mater.</w:t>
      </w:r>
      <w:r w:rsidRPr="00A1528E">
        <w:rPr>
          <w:noProof/>
          <w:sz w:val="24"/>
        </w:rPr>
        <w:t>, vol. 773–774, no. x, pp. 425–429, 2015, doi: 10.4028/www.scientific.net/amm.773-774.425.</w:t>
      </w:r>
    </w:p>
    <w:p w:rsidR="00880DEE" w:rsidRPr="00A1528E" w:rsidP="00BA6EA3" w14:paraId="55978B21" w14:textId="77777777">
      <w:pPr>
        <w:adjustRightInd w:val="0"/>
        <w:ind w:left="640" w:hanging="640"/>
        <w:jc w:val="both"/>
        <w:rPr>
          <w:noProof/>
          <w:sz w:val="24"/>
        </w:rPr>
      </w:pPr>
    </w:p>
    <w:p w:rsidR="00063611" w:rsidRPr="00F827CC" w:rsidP="00BA6EA3" w14:paraId="449A856A" w14:textId="49E2CD50">
      <w:pPr>
        <w:pStyle w:val="Heading1"/>
        <w:rPr>
          <w:color w:val="FF0000"/>
        </w:rPr>
      </w:pPr>
      <w:r>
        <w:fldChar w:fldCharType="end"/>
      </w:r>
    </w:p>
    <w:p w:rsidR="00063611" w:rsidRPr="00F827CC" w:rsidP="00BA6EA3" w14:paraId="76FD1669" w14:textId="77777777">
      <w:pPr>
        <w:pStyle w:val="ListParagraph"/>
        <w:spacing w:line="237" w:lineRule="auto"/>
        <w:rPr>
          <w:color w:val="FF0000"/>
          <w:sz w:val="24"/>
        </w:rPr>
        <w:sectPr w:rsidSect="006C02BB">
          <w:footerReference w:type="default" r:id="rId21"/>
          <w:type w:val="continuous"/>
          <w:pgSz w:w="11910" w:h="16840"/>
          <w:pgMar w:top="1340" w:right="1133" w:bottom="980" w:left="1275" w:header="0" w:footer="797" w:gutter="0"/>
          <w:cols w:num="2" w:space="720" w:equalWidth="0">
            <w:col w:w="4442" w:space="356"/>
            <w:col w:w="4704" w:space="0"/>
          </w:cols>
        </w:sectPr>
      </w:pPr>
    </w:p>
    <w:p w:rsidR="00063611" w:rsidRPr="00F827CC" w:rsidP="00BA6EA3" w14:paraId="740E4FFE" w14:textId="1CEB5333">
      <w:pPr>
        <w:ind w:left="804" w:right="5101"/>
        <w:jc w:val="both"/>
        <w:rPr>
          <w:color w:val="FF0000"/>
        </w:rPr>
      </w:pPr>
    </w:p>
    <w:sectPr>
      <w:footerReference w:type="default" r:id="rId22"/>
      <w:pgSz w:w="11910" w:h="16840"/>
      <w:pgMar w:top="1340" w:right="1133" w:bottom="980" w:left="1275" w:header="0" w:footer="78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venir Next LT Pro">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611" w14:paraId="537312FF" w14:textId="77777777">
    <w:pPr>
      <w:pStyle w:val="BodyText"/>
      <w:spacing w:line="14" w:lineRule="auto"/>
      <w:jc w:val="left"/>
      <w:rPr>
        <w:sz w:val="20"/>
      </w:rPr>
    </w:pPr>
    <w:r>
      <w:rPr>
        <w:noProof/>
        <w:sz w:val="20"/>
      </w:rPr>
      <mc:AlternateContent>
        <mc:Choice Requires="wps">
          <w:drawing>
            <wp:anchor distT="0" distB="0" distL="0" distR="0" simplePos="0" relativeHeight="251670528" behindDoc="1" locked="0" layoutInCell="1" allowOverlap="1">
              <wp:simplePos x="0" y="0"/>
              <wp:positionH relativeFrom="page">
                <wp:posOffset>902004</wp:posOffset>
              </wp:positionH>
              <wp:positionV relativeFrom="page">
                <wp:posOffset>10092862</wp:posOffset>
              </wp:positionV>
              <wp:extent cx="1899920" cy="167640"/>
              <wp:effectExtent l="0" t="0" r="0" b="0"/>
              <wp:wrapNone/>
              <wp:docPr id="1" name="Text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99920" cy="167640"/>
                      </a:xfrm>
                      <a:prstGeom prst="rect">
                        <a:avLst/>
                      </a:prstGeom>
                    </wps:spPr>
                    <wps:txbx>
                      <w:txbxContent>
                        <w:p w:rsidR="00063611" w14:textId="77777777">
                          <w:pPr>
                            <w:spacing w:before="13"/>
                            <w:ind w:left="20"/>
                            <w:rPr>
                              <w:sz w:val="20"/>
                            </w:rPr>
                          </w:pPr>
                          <w:r>
                            <w:rPr>
                              <w:sz w:val="20"/>
                            </w:rPr>
                            <w:t>Available</w:t>
                          </w:r>
                          <w:r>
                            <w:rPr>
                              <w:spacing w:val="-8"/>
                              <w:sz w:val="20"/>
                            </w:rPr>
                            <w:t xml:space="preserve"> </w:t>
                          </w:r>
                          <w:r>
                            <w:rPr>
                              <w:sz w:val="20"/>
                            </w:rPr>
                            <w:t>online</w:t>
                          </w:r>
                          <w:r>
                            <w:rPr>
                              <w:spacing w:val="-2"/>
                              <w:sz w:val="20"/>
                            </w:rPr>
                            <w:t xml:space="preserve"> </w:t>
                          </w:r>
                          <w:r>
                            <w:rPr>
                              <w:sz w:val="20"/>
                            </w:rPr>
                            <w:t>December</w:t>
                          </w:r>
                          <w:r>
                            <w:rPr>
                              <w:spacing w:val="-9"/>
                              <w:sz w:val="20"/>
                            </w:rPr>
                            <w:t xml:space="preserve"> </w:t>
                          </w:r>
                          <w:r>
                            <w:rPr>
                              <w:sz w:val="20"/>
                            </w:rPr>
                            <w:t>31,</w:t>
                          </w:r>
                          <w:r>
                            <w:rPr>
                              <w:spacing w:val="-6"/>
                              <w:sz w:val="20"/>
                            </w:rPr>
                            <w:t xml:space="preserve"> </w:t>
                          </w:r>
                          <w:r>
                            <w:rPr>
                              <w:spacing w:val="-4"/>
                              <w:sz w:val="20"/>
                            </w:rPr>
                            <w:t>2024</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 o:spid="_x0000_s2049" type="#_x0000_t202" style="width:149.6pt;height:13.2pt;margin-top:794.7pt;margin-left:71pt;mso-position-horizontal-relative:page;mso-position-vertical-relative:page;mso-wrap-distance-bottom:0;mso-wrap-distance-left:0;mso-wrap-distance-right:0;mso-wrap-distance-top:0;mso-wrap-style:square;position:absolute;v-text-anchor:top;visibility:visible;z-index:-251644928" filled="f" stroked="f">
              <v:textbox inset="0,0,0,0">
                <w:txbxContent>
                  <w:p w:rsidR="00063611" w14:paraId="1A7E3F8A" w14:textId="77777777">
                    <w:pPr>
                      <w:spacing w:before="13"/>
                      <w:ind w:left="20"/>
                      <w:rPr>
                        <w:sz w:val="20"/>
                      </w:rPr>
                    </w:pPr>
                    <w:r>
                      <w:rPr>
                        <w:sz w:val="20"/>
                      </w:rPr>
                      <w:t>Available</w:t>
                    </w:r>
                    <w:r>
                      <w:rPr>
                        <w:spacing w:val="-8"/>
                        <w:sz w:val="20"/>
                      </w:rPr>
                      <w:t xml:space="preserve"> </w:t>
                    </w:r>
                    <w:r>
                      <w:rPr>
                        <w:sz w:val="20"/>
                      </w:rPr>
                      <w:t>online</w:t>
                    </w:r>
                    <w:r>
                      <w:rPr>
                        <w:spacing w:val="-2"/>
                        <w:sz w:val="20"/>
                      </w:rPr>
                      <w:t xml:space="preserve"> </w:t>
                    </w:r>
                    <w:r>
                      <w:rPr>
                        <w:sz w:val="20"/>
                      </w:rPr>
                      <w:t>December</w:t>
                    </w:r>
                    <w:r>
                      <w:rPr>
                        <w:spacing w:val="-9"/>
                        <w:sz w:val="20"/>
                      </w:rPr>
                      <w:t xml:space="preserve"> </w:t>
                    </w:r>
                    <w:r>
                      <w:rPr>
                        <w:sz w:val="20"/>
                      </w:rPr>
                      <w:t>31,</w:t>
                    </w:r>
                    <w:r>
                      <w:rPr>
                        <w:spacing w:val="-6"/>
                        <w:sz w:val="20"/>
                      </w:rPr>
                      <w:t xml:space="preserve"> </w:t>
                    </w:r>
                    <w:r>
                      <w:rPr>
                        <w:spacing w:val="-4"/>
                        <w:sz w:val="20"/>
                      </w:rPr>
                      <w:t>2024</w:t>
                    </w:r>
                  </w:p>
                </w:txbxContent>
              </v:textbox>
            </v:shape>
          </w:pict>
        </mc:Fallback>
      </mc:AlternateContent>
    </w:r>
    <w:r>
      <w:rPr>
        <w:noProof/>
        <w:sz w:val="20"/>
      </w:rPr>
      <mc:AlternateContent>
        <mc:Choice Requires="wps">
          <w:drawing>
            <wp:anchor distT="0" distB="0" distL="0" distR="0" simplePos="0" relativeHeight="251672576" behindDoc="1" locked="0" layoutInCell="1" allowOverlap="1">
              <wp:simplePos x="0" y="0"/>
              <wp:positionH relativeFrom="page">
                <wp:posOffset>6448805</wp:posOffset>
              </wp:positionH>
              <wp:positionV relativeFrom="page">
                <wp:posOffset>10092862</wp:posOffset>
              </wp:positionV>
              <wp:extent cx="217804" cy="167640"/>
              <wp:effectExtent l="0" t="0" r="0" b="0"/>
              <wp:wrapNone/>
              <wp:docPr id="2"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67640"/>
                      </a:xfrm>
                      <a:prstGeom prst="rect">
                        <a:avLst/>
                      </a:prstGeom>
                    </wps:spPr>
                    <wps:txbx>
                      <w:txbxContent>
                        <w:p w:rsidR="00063611" w14:textId="77777777">
                          <w:pPr>
                            <w:spacing w:before="13"/>
                            <w:ind w:left="20"/>
                            <w:rPr>
                              <w:sz w:val="20"/>
                            </w:rPr>
                          </w:pPr>
                          <w:r>
                            <w:rPr>
                              <w:spacing w:val="-5"/>
                              <w:sz w:val="20"/>
                            </w:rPr>
                            <w:t>221</w:t>
                          </w:r>
                        </w:p>
                      </w:txbxContent>
                    </wps:txbx>
                    <wps:bodyPr wrap="square" lIns="0" tIns="0" rIns="0" bIns="0" rtlCol="0"/>
                  </wps:wsp>
                </a:graphicData>
              </a:graphic>
            </wp:anchor>
          </w:drawing>
        </mc:Choice>
        <mc:Fallback>
          <w:pict>
            <v:shape id="Textbox 2" o:spid="_x0000_s2050" type="#_x0000_t202" style="width:17.15pt;height:13.2pt;margin-top:794.7pt;margin-left:507.8pt;mso-position-horizontal-relative:page;mso-position-vertical-relative:page;mso-wrap-distance-bottom:0;mso-wrap-distance-left:0;mso-wrap-distance-right:0;mso-wrap-distance-top:0;mso-wrap-style:square;position:absolute;v-text-anchor:top;visibility:visible;z-index:-251642880" filled="f" stroked="f">
              <v:textbox inset="0,0,0,0">
                <w:txbxContent>
                  <w:p w:rsidR="00063611" w14:paraId="6EF93312" w14:textId="77777777">
                    <w:pPr>
                      <w:spacing w:before="13"/>
                      <w:ind w:left="20"/>
                      <w:rPr>
                        <w:sz w:val="20"/>
                      </w:rPr>
                    </w:pPr>
                    <w:r>
                      <w:rPr>
                        <w:spacing w:val="-5"/>
                        <w:sz w:val="20"/>
                      </w:rPr>
                      <w:t>221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611" w14:paraId="43623C01" w14:textId="77777777">
    <w:pPr>
      <w:pStyle w:val="BodyText"/>
      <w:spacing w:line="14" w:lineRule="auto"/>
      <w:jc w:val="left"/>
      <w:rPr>
        <w:sz w:val="20"/>
      </w:rPr>
    </w:pPr>
    <w:r>
      <w:rPr>
        <w:noProof/>
        <w:sz w:val="20"/>
      </w:rPr>
      <mc:AlternateContent>
        <mc:Choice Requires="wps">
          <w:drawing>
            <wp:anchor distT="0" distB="0" distL="0" distR="0" simplePos="0" relativeHeight="251658240" behindDoc="1" locked="0" layoutInCell="1" allowOverlap="1">
              <wp:simplePos x="0" y="0"/>
              <wp:positionH relativeFrom="page">
                <wp:posOffset>885825</wp:posOffset>
              </wp:positionH>
              <wp:positionV relativeFrom="page">
                <wp:posOffset>10017137</wp:posOffset>
              </wp:positionV>
              <wp:extent cx="5753100" cy="1270"/>
              <wp:effectExtent l="0" t="0" r="0" b="0"/>
              <wp:wrapNone/>
              <wp:docPr id="11" name="Graphic 11"/>
              <wp:cNvGraphicFramePr/>
              <a:graphic xmlns:a="http://schemas.openxmlformats.org/drawingml/2006/main">
                <a:graphicData uri="http://schemas.microsoft.com/office/word/2010/wordprocessingShape">
                  <wps:wsp xmlns:wps="http://schemas.microsoft.com/office/word/2010/wordprocessingShape">
                    <wps:cNvSpPr/>
                    <wps:spPr>
                      <a:xfrm>
                        <a:off x="0" y="0"/>
                        <a:ext cx="5753100" cy="1270"/>
                      </a:xfrm>
                      <a:custGeom>
                        <a:avLst/>
                        <a:gdLst/>
                        <a:rect l="l" t="t" r="r" b="b"/>
                        <a:pathLst>
                          <a:path fill="norm" w="5753100" stroke="1">
                            <a:moveTo>
                              <a:pt x="0" y="0"/>
                            </a:moveTo>
                            <a:lnTo>
                              <a:pt x="57531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11" o:spid="_x0000_s2051" style="width:453pt;height:0.1pt;margin-top:788.75pt;margin-left:69.75pt;mso-position-horizontal-relative:page;mso-position-vertical-relative:page;mso-wrap-distance-bottom:0;mso-wrap-distance-left:0;mso-wrap-distance-right:0;mso-wrap-distance-top:0;mso-wrap-style:square;position:absolute;v-text-anchor:top;visibility:visible;z-index:-251657216" coordsize="5753100,1270" path="m,l5753100,e" filled="f" strokeweight="0.5pt">
              <v:path arrowok="t"/>
            </v:shape>
          </w:pict>
        </mc:Fallback>
      </mc:AlternateContent>
    </w:r>
    <w:r>
      <w:rPr>
        <w:noProof/>
        <w:sz w:val="20"/>
      </w:rPr>
      <mc:AlternateContent>
        <mc:Choice Requires="wps">
          <w:drawing>
            <wp:anchor distT="0" distB="0" distL="0" distR="0" simplePos="0" relativeHeight="251660288" behindDoc="1" locked="0" layoutInCell="1" allowOverlap="1">
              <wp:simplePos x="0" y="0"/>
              <wp:positionH relativeFrom="page">
                <wp:posOffset>902004</wp:posOffset>
              </wp:positionH>
              <wp:positionV relativeFrom="page">
                <wp:posOffset>10092862</wp:posOffset>
              </wp:positionV>
              <wp:extent cx="3736340" cy="167640"/>
              <wp:effectExtent l="0" t="0" r="0" b="0"/>
              <wp:wrapNone/>
              <wp:docPr id="12" name="Text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736340" cy="167640"/>
                      </a:xfrm>
                      <a:prstGeom prst="rect">
                        <a:avLst/>
                      </a:prstGeom>
                    </wps:spPr>
                    <wps:txbx>
                      <w:txbxContent>
                        <w:p w:rsidR="00063611"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5"/>
                              <w:sz w:val="20"/>
                            </w:rPr>
                            <w:t xml:space="preserve"> </w:t>
                          </w:r>
                          <w:r>
                            <w:rPr>
                              <w:sz w:val="20"/>
                            </w:rPr>
                            <w:t>e-ISSN:</w:t>
                          </w:r>
                          <w:r>
                            <w:rPr>
                              <w:spacing w:val="-6"/>
                              <w:sz w:val="20"/>
                            </w:rPr>
                            <w:t xml:space="preserve"> </w:t>
                          </w:r>
                          <w:r>
                            <w:rPr>
                              <w:sz w:val="20"/>
                            </w:rPr>
                            <w:t>2447-250X</w:t>
                          </w:r>
                          <w:r>
                            <w:rPr>
                              <w:spacing w:val="-4"/>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 o:spid="_x0000_s2052" type="#_x0000_t202" style="width:294.2pt;height:13.2pt;margin-top:794.7pt;margin-left:71pt;mso-position-horizontal-relative:page;mso-position-vertical-relative:page;mso-wrap-distance-bottom:0;mso-wrap-distance-left:0;mso-wrap-distance-right:0;mso-wrap-distance-top:0;mso-wrap-style:square;position:absolute;v-text-anchor:top;visibility:visible;z-index:-251655168" filled="f" stroked="f">
              <v:textbox inset="0,0,0,0">
                <w:txbxContent>
                  <w:p w:rsidR="00063611" w14:paraId="1C0D85F4"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5"/>
                        <w:sz w:val="20"/>
                      </w:rPr>
                      <w:t xml:space="preserve"> </w:t>
                    </w:r>
                    <w:r>
                      <w:rPr>
                        <w:sz w:val="20"/>
                      </w:rPr>
                      <w:t>e-ISSN:</w:t>
                    </w:r>
                    <w:r>
                      <w:rPr>
                        <w:spacing w:val="-6"/>
                        <w:sz w:val="20"/>
                      </w:rPr>
                      <w:t xml:space="preserve"> </w:t>
                    </w:r>
                    <w:r>
                      <w:rPr>
                        <w:sz w:val="20"/>
                      </w:rPr>
                      <w:t>2447-250X</w:t>
                    </w:r>
                    <w:r>
                      <w:rPr>
                        <w:spacing w:val="-4"/>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v:textbox>
            </v:shape>
          </w:pict>
        </mc:Fallback>
      </mc:AlternateContent>
    </w:r>
    <w:r>
      <w:rPr>
        <w:noProof/>
        <w:sz w:val="20"/>
      </w:rPr>
      <mc:AlternateContent>
        <mc:Choice Requires="wps">
          <w:drawing>
            <wp:anchor distT="0" distB="0" distL="0" distR="0" simplePos="0" relativeHeight="251662336" behindDoc="1" locked="0" layoutInCell="1" allowOverlap="1">
              <wp:simplePos x="0" y="0"/>
              <wp:positionH relativeFrom="page">
                <wp:posOffset>6390894</wp:posOffset>
              </wp:positionH>
              <wp:positionV relativeFrom="page">
                <wp:posOffset>10092862</wp:posOffset>
              </wp:positionV>
              <wp:extent cx="214629" cy="167640"/>
              <wp:effectExtent l="0" t="0" r="0" b="0"/>
              <wp:wrapNone/>
              <wp:docPr id="13" name="Text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4629" cy="167640"/>
                      </a:xfrm>
                      <a:prstGeom prst="rect">
                        <a:avLst/>
                      </a:prstGeom>
                    </wps:spPr>
                    <wps:txbx>
                      <w:txbxContent>
                        <w:p w:rsidR="00063611" w14:textId="77777777">
                          <w:pPr>
                            <w:spacing w:before="13"/>
                            <w:ind w:left="20"/>
                            <w:rPr>
                              <w:sz w:val="20"/>
                            </w:rPr>
                          </w:pPr>
                          <w:r>
                            <w:rPr>
                              <w:spacing w:val="-5"/>
                              <w:sz w:val="20"/>
                            </w:rPr>
                            <w:t>223</w:t>
                          </w:r>
                        </w:p>
                      </w:txbxContent>
                    </wps:txbx>
                    <wps:bodyPr wrap="square" lIns="0" tIns="0" rIns="0" bIns="0" rtlCol="0"/>
                  </wps:wsp>
                </a:graphicData>
              </a:graphic>
            </wp:anchor>
          </w:drawing>
        </mc:Choice>
        <mc:Fallback>
          <w:pict>
            <v:shape id="Textbox 13" o:spid="_x0000_s2053" type="#_x0000_t202" style="width:16.9pt;height:13.2pt;margin-top:794.7pt;margin-left:503.2pt;mso-position-horizontal-relative:page;mso-position-vertical-relative:page;mso-wrap-distance-bottom:0;mso-wrap-distance-left:0;mso-wrap-distance-right:0;mso-wrap-distance-top:0;mso-wrap-style:square;position:absolute;v-text-anchor:top;visibility:visible;z-index:-251653120" filled="f" stroked="f">
              <v:textbox inset="0,0,0,0">
                <w:txbxContent>
                  <w:p w:rsidR="00063611" w14:paraId="0C896749" w14:textId="77777777">
                    <w:pPr>
                      <w:spacing w:before="13"/>
                      <w:ind w:left="20"/>
                      <w:rPr>
                        <w:sz w:val="20"/>
                      </w:rPr>
                    </w:pPr>
                    <w:r>
                      <w:rPr>
                        <w:spacing w:val="-5"/>
                        <w:sz w:val="20"/>
                      </w:rPr>
                      <w:t>223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611" w14:paraId="74242323" w14:textId="77777777">
    <w:pPr>
      <w:pStyle w:val="BodyText"/>
      <w:spacing w:line="14" w:lineRule="auto"/>
      <w:jc w:val="left"/>
      <w:rPr>
        <w:sz w:val="20"/>
      </w:rPr>
    </w:pPr>
    <w:r>
      <w:rPr>
        <w:noProof/>
        <w:sz w:val="20"/>
      </w:rPr>
      <mc:AlternateContent>
        <mc:Choice Requires="wps">
          <w:drawing>
            <wp:anchor distT="0" distB="0" distL="0" distR="0" simplePos="0" relativeHeight="251664384" behindDoc="1" locked="0" layoutInCell="1" allowOverlap="1">
              <wp:simplePos x="0" y="0"/>
              <wp:positionH relativeFrom="page">
                <wp:posOffset>885825</wp:posOffset>
              </wp:positionH>
              <wp:positionV relativeFrom="page">
                <wp:posOffset>10011422</wp:posOffset>
              </wp:positionV>
              <wp:extent cx="5759450" cy="1270"/>
              <wp:effectExtent l="0" t="0" r="0" b="0"/>
              <wp:wrapNone/>
              <wp:docPr id="195" name="Graphic 195"/>
              <wp:cNvGraphicFramePr/>
              <a:graphic xmlns:a="http://schemas.openxmlformats.org/drawingml/2006/main">
                <a:graphicData uri="http://schemas.microsoft.com/office/word/2010/wordprocessingShape">
                  <wps:wsp xmlns:wps="http://schemas.microsoft.com/office/word/2010/wordprocessingShape">
                    <wps:cNvSpPr/>
                    <wps:spPr>
                      <a:xfrm>
                        <a:off x="0" y="0"/>
                        <a:ext cx="5759450" cy="1270"/>
                      </a:xfrm>
                      <a:custGeom>
                        <a:avLst/>
                        <a:gdLst/>
                        <a:rect l="l" t="t" r="r" b="b"/>
                        <a:pathLst>
                          <a:path fill="norm" w="5759450" stroke="1">
                            <a:moveTo>
                              <a:pt x="0" y="0"/>
                            </a:moveTo>
                            <a:lnTo>
                              <a:pt x="575945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195" o:spid="_x0000_s2054" style="width:453.5pt;height:0.1pt;margin-top:788.3pt;margin-left:69.75pt;mso-position-horizontal-relative:page;mso-position-vertical-relative:page;mso-wrap-distance-bottom:0;mso-wrap-distance-left:0;mso-wrap-distance-right:0;mso-wrap-distance-top:0;mso-wrap-style:square;position:absolute;v-text-anchor:top;visibility:visible;z-index:-251651072" coordsize="5759450,1270" path="m,l5759450,e" filled="f" strokeweight="0.5pt">
              <v:path arrowok="t"/>
            </v:shape>
          </w:pict>
        </mc:Fallback>
      </mc:AlternateContent>
    </w:r>
    <w:r>
      <w:rPr>
        <w:noProof/>
        <w:sz w:val="20"/>
      </w:rPr>
      <mc:AlternateContent>
        <mc:Choice Requires="wps">
          <w:drawing>
            <wp:anchor distT="0" distB="0" distL="0" distR="0" simplePos="0" relativeHeight="251666432" behindDoc="1" locked="0" layoutInCell="1" allowOverlap="1">
              <wp:simplePos x="0" y="0"/>
              <wp:positionH relativeFrom="page">
                <wp:posOffset>902004</wp:posOffset>
              </wp:positionH>
              <wp:positionV relativeFrom="page">
                <wp:posOffset>10092862</wp:posOffset>
              </wp:positionV>
              <wp:extent cx="217804" cy="167640"/>
              <wp:effectExtent l="0" t="0" r="0" b="0"/>
              <wp:wrapNone/>
              <wp:docPr id="196" name="Textbox 196"/>
              <wp:cNvGraphicFramePr/>
              <a:graphic xmlns:a="http://schemas.openxmlformats.org/drawingml/2006/main">
                <a:graphicData uri="http://schemas.microsoft.com/office/word/2010/wordprocessingShape">
                  <wps:wsp xmlns:wps="http://schemas.microsoft.com/office/word/2010/wordprocessingShape">
                    <wps:cNvSpPr txBox="1"/>
                    <wps:spPr>
                      <a:xfrm>
                        <a:off x="0" y="0"/>
                        <a:ext cx="217804" cy="167640"/>
                      </a:xfrm>
                      <a:prstGeom prst="rect">
                        <a:avLst/>
                      </a:prstGeom>
                    </wps:spPr>
                    <wps:txbx>
                      <w:txbxContent>
                        <w:p w:rsidR="00063611" w14:textId="77777777">
                          <w:pPr>
                            <w:spacing w:before="13"/>
                            <w:ind w:left="20"/>
                            <w:rPr>
                              <w:sz w:val="20"/>
                            </w:rPr>
                          </w:pPr>
                          <w:r>
                            <w:rPr>
                              <w:spacing w:val="-5"/>
                              <w:sz w:val="20"/>
                            </w:rPr>
                            <w:t>226</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96" o:spid="_x0000_s2055" type="#_x0000_t202" style="width:17.15pt;height:13.2pt;margin-top:794.7pt;margin-left:71pt;mso-position-horizontal-relative:page;mso-position-vertical-relative:page;mso-wrap-distance-bottom:0;mso-wrap-distance-left:0;mso-wrap-distance-right:0;mso-wrap-distance-top:0;mso-wrap-style:square;position:absolute;v-text-anchor:top;visibility:visible;z-index:-251649024" filled="f" stroked="f">
              <v:textbox inset="0,0,0,0">
                <w:txbxContent>
                  <w:p w:rsidR="00063611" w14:paraId="0B685970" w14:textId="77777777">
                    <w:pPr>
                      <w:spacing w:before="13"/>
                      <w:ind w:left="20"/>
                      <w:rPr>
                        <w:sz w:val="20"/>
                      </w:rPr>
                    </w:pPr>
                    <w:r>
                      <w:rPr>
                        <w:spacing w:val="-5"/>
                        <w:sz w:val="20"/>
                      </w:rPr>
                      <w:t>226</w:t>
                    </w:r>
                  </w:p>
                </w:txbxContent>
              </v:textbox>
            </v:shape>
          </w:pict>
        </mc:Fallback>
      </mc:AlternateContent>
    </w:r>
    <w:r>
      <w:rPr>
        <w:noProof/>
        <w:sz w:val="20"/>
      </w:rPr>
      <mc:AlternateContent>
        <mc:Choice Requires="wps">
          <w:drawing>
            <wp:anchor distT="0" distB="0" distL="0" distR="0" simplePos="0" relativeHeight="251668480" behindDoc="1" locked="0" layoutInCell="1" allowOverlap="1">
              <wp:simplePos x="0" y="0"/>
              <wp:positionH relativeFrom="page">
                <wp:posOffset>2868929</wp:posOffset>
              </wp:positionH>
              <wp:positionV relativeFrom="page">
                <wp:posOffset>10092862</wp:posOffset>
              </wp:positionV>
              <wp:extent cx="3736340" cy="167640"/>
              <wp:effectExtent l="0" t="0" r="0" b="0"/>
              <wp:wrapNone/>
              <wp:docPr id="197" name="Textbox 197"/>
              <wp:cNvGraphicFramePr/>
              <a:graphic xmlns:a="http://schemas.openxmlformats.org/drawingml/2006/main">
                <a:graphicData uri="http://schemas.microsoft.com/office/word/2010/wordprocessingShape">
                  <wps:wsp xmlns:wps="http://schemas.microsoft.com/office/word/2010/wordprocessingShape">
                    <wps:cNvSpPr txBox="1"/>
                    <wps:spPr>
                      <a:xfrm>
                        <a:off x="0" y="0"/>
                        <a:ext cx="3736340" cy="167640"/>
                      </a:xfrm>
                      <a:prstGeom prst="rect">
                        <a:avLst/>
                      </a:prstGeom>
                    </wps:spPr>
                    <wps:txbx>
                      <w:txbxContent>
                        <w:p w:rsidR="00063611"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6"/>
                              <w:sz w:val="20"/>
                            </w:rPr>
                            <w:t xml:space="preserve"> </w:t>
                          </w:r>
                          <w:r>
                            <w:rPr>
                              <w:sz w:val="20"/>
                            </w:rPr>
                            <w:t>e-ISSN:</w:t>
                          </w:r>
                          <w:r>
                            <w:rPr>
                              <w:spacing w:val="-5"/>
                              <w:sz w:val="20"/>
                            </w:rPr>
                            <w:t xml:space="preserve"> </w:t>
                          </w:r>
                          <w:r>
                            <w:rPr>
                              <w:sz w:val="20"/>
                            </w:rPr>
                            <w:t>2447-250X</w:t>
                          </w:r>
                          <w:r>
                            <w:rPr>
                              <w:spacing w:val="-5"/>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wps:txbx>
                    <wps:bodyPr wrap="square" lIns="0" tIns="0" rIns="0" bIns="0" rtlCol="0"/>
                  </wps:wsp>
                </a:graphicData>
              </a:graphic>
            </wp:anchor>
          </w:drawing>
        </mc:Choice>
        <mc:Fallback>
          <w:pict>
            <v:shape id="Textbox 197" o:spid="_x0000_s2056" type="#_x0000_t202" style="width:294.2pt;height:13.2pt;margin-top:794.7pt;margin-left:225.9pt;mso-position-horizontal-relative:page;mso-position-vertical-relative:page;mso-wrap-distance-bottom:0;mso-wrap-distance-left:0;mso-wrap-distance-right:0;mso-wrap-distance-top:0;mso-wrap-style:square;position:absolute;v-text-anchor:top;visibility:visible;z-index:-251646976" filled="f" stroked="f">
              <v:textbox inset="0,0,0,0">
                <w:txbxContent>
                  <w:p w:rsidR="00063611" w14:paraId="3A838D8D"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6"/>
                        <w:sz w:val="20"/>
                      </w:rPr>
                      <w:t xml:space="preserve"> </w:t>
                    </w:r>
                    <w:r>
                      <w:rPr>
                        <w:sz w:val="20"/>
                      </w:rPr>
                      <w:t>e-ISSN:</w:t>
                    </w:r>
                    <w:r>
                      <w:rPr>
                        <w:spacing w:val="-5"/>
                        <w:sz w:val="20"/>
                      </w:rPr>
                      <w:t xml:space="preserve"> </w:t>
                    </w:r>
                    <w:r>
                      <w:rPr>
                        <w:sz w:val="20"/>
                      </w:rPr>
                      <w:t>2447-250X</w:t>
                    </w:r>
                    <w:r>
                      <w:rPr>
                        <w:spacing w:val="-5"/>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611" w14:paraId="1D0DBA3B" w14:textId="77777777">
    <w:pPr>
      <w:pStyle w:val="BodyText"/>
      <w:spacing w:line="14" w:lineRule="auto"/>
      <w:jc w:val="left"/>
      <w:rPr>
        <w:sz w:val="20"/>
      </w:rPr>
    </w:pPr>
    <w:r>
      <w:rPr>
        <w:noProof/>
        <w:sz w:val="20"/>
      </w:rPr>
      <mc:AlternateContent>
        <mc:Choice Requires="wps">
          <w:drawing>
            <wp:anchor distT="0" distB="0" distL="0" distR="0" simplePos="0" relativeHeight="251674624" behindDoc="1" locked="0" layoutInCell="1" allowOverlap="1">
              <wp:simplePos x="0" y="0"/>
              <wp:positionH relativeFrom="page">
                <wp:posOffset>885825</wp:posOffset>
              </wp:positionH>
              <wp:positionV relativeFrom="page">
                <wp:posOffset>10017137</wp:posOffset>
              </wp:positionV>
              <wp:extent cx="5753100" cy="1270"/>
              <wp:effectExtent l="0" t="0" r="0" b="0"/>
              <wp:wrapNone/>
              <wp:docPr id="198" name="Graphic 198"/>
              <wp:cNvGraphicFramePr/>
              <a:graphic xmlns:a="http://schemas.openxmlformats.org/drawingml/2006/main">
                <a:graphicData uri="http://schemas.microsoft.com/office/word/2010/wordprocessingShape">
                  <wps:wsp xmlns:wps="http://schemas.microsoft.com/office/word/2010/wordprocessingShape">
                    <wps:cNvSpPr/>
                    <wps:spPr>
                      <a:xfrm>
                        <a:off x="0" y="0"/>
                        <a:ext cx="5753100" cy="1270"/>
                      </a:xfrm>
                      <a:custGeom>
                        <a:avLst/>
                        <a:gdLst/>
                        <a:rect l="l" t="t" r="r" b="b"/>
                        <a:pathLst>
                          <a:path fill="norm" w="5753100" stroke="1">
                            <a:moveTo>
                              <a:pt x="0" y="0"/>
                            </a:moveTo>
                            <a:lnTo>
                              <a:pt x="5753100" y="0"/>
                            </a:lnTo>
                          </a:path>
                        </a:pathLst>
                      </a:custGeom>
                      <a:ln w="6350">
                        <a:solidFill>
                          <a:srgbClr val="000000"/>
                        </a:solidFill>
                        <a:prstDash val="solid"/>
                      </a:ln>
                    </wps:spPr>
                    <wps:bodyPr wrap="square" lIns="0" tIns="0" rIns="0" bIns="0" rtlCol="0">
                      <a:prstTxWarp prst="textNoShape">
                        <a:avLst/>
                      </a:prstTxWarp>
                    </wps:bodyPr>
                  </wps:wsp>
                </a:graphicData>
              </a:graphic>
            </wp:anchor>
          </w:drawing>
        </mc:Choice>
        <mc:Fallback>
          <w:pict>
            <v:shape id="Graphic 198" o:spid="_x0000_s2057" style="width:453pt;height:0.1pt;margin-top:788.75pt;margin-left:69.75pt;mso-position-horizontal-relative:page;mso-position-vertical-relative:page;mso-wrap-distance-bottom:0;mso-wrap-distance-left:0;mso-wrap-distance-right:0;mso-wrap-distance-top:0;mso-wrap-style:square;position:absolute;v-text-anchor:top;visibility:visible;z-index:-251640832" coordsize="5753100,1270" path="m,l5753100,e" filled="f" strokeweight="0.5pt">
              <v:path arrowok="t"/>
            </v:shape>
          </w:pict>
        </mc:Fallback>
      </mc:AlternateContent>
    </w:r>
    <w:r>
      <w:rPr>
        <w:noProof/>
        <w:sz w:val="20"/>
      </w:rPr>
      <mc:AlternateContent>
        <mc:Choice Requires="wps">
          <w:drawing>
            <wp:anchor distT="0" distB="0" distL="0" distR="0" simplePos="0" relativeHeight="251676672" behindDoc="1" locked="0" layoutInCell="1" allowOverlap="1">
              <wp:simplePos x="0" y="0"/>
              <wp:positionH relativeFrom="page">
                <wp:posOffset>902004</wp:posOffset>
              </wp:positionH>
              <wp:positionV relativeFrom="page">
                <wp:posOffset>10092862</wp:posOffset>
              </wp:positionV>
              <wp:extent cx="3736340" cy="167640"/>
              <wp:effectExtent l="0" t="0" r="0" b="0"/>
              <wp:wrapNone/>
              <wp:docPr id="199" name="Textbox 199"/>
              <wp:cNvGraphicFramePr/>
              <a:graphic xmlns:a="http://schemas.openxmlformats.org/drawingml/2006/main">
                <a:graphicData uri="http://schemas.microsoft.com/office/word/2010/wordprocessingShape">
                  <wps:wsp xmlns:wps="http://schemas.microsoft.com/office/word/2010/wordprocessingShape">
                    <wps:cNvSpPr txBox="1"/>
                    <wps:spPr>
                      <a:xfrm>
                        <a:off x="0" y="0"/>
                        <a:ext cx="3736340" cy="167640"/>
                      </a:xfrm>
                      <a:prstGeom prst="rect">
                        <a:avLst/>
                      </a:prstGeom>
                    </wps:spPr>
                    <wps:txbx>
                      <w:txbxContent>
                        <w:p w:rsidR="00063611"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5"/>
                              <w:sz w:val="20"/>
                            </w:rPr>
                            <w:t xml:space="preserve"> </w:t>
                          </w:r>
                          <w:r>
                            <w:rPr>
                              <w:sz w:val="20"/>
                            </w:rPr>
                            <w:t>e-ISSN:</w:t>
                          </w:r>
                          <w:r>
                            <w:rPr>
                              <w:spacing w:val="-6"/>
                              <w:sz w:val="20"/>
                            </w:rPr>
                            <w:t xml:space="preserve"> </w:t>
                          </w:r>
                          <w:r>
                            <w:rPr>
                              <w:sz w:val="20"/>
                            </w:rPr>
                            <w:t>2447-250X</w:t>
                          </w:r>
                          <w:r>
                            <w:rPr>
                              <w:spacing w:val="-4"/>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99" o:spid="_x0000_s2058" type="#_x0000_t202" style="width:294.2pt;height:13.2pt;margin-top:794.7pt;margin-left:71pt;mso-position-horizontal-relative:page;mso-position-vertical-relative:page;mso-wrap-distance-bottom:0;mso-wrap-distance-left:0;mso-wrap-distance-right:0;mso-wrap-distance-top:0;mso-wrap-style:square;position:absolute;v-text-anchor:top;visibility:visible;z-index:-251638784" filled="f" stroked="f">
              <v:textbox inset="0,0,0,0">
                <w:txbxContent>
                  <w:p w:rsidR="00063611" w14:paraId="45065BBE" w14:textId="77777777">
                    <w:pPr>
                      <w:spacing w:before="13"/>
                      <w:ind w:left="20"/>
                      <w:rPr>
                        <w:sz w:val="20"/>
                      </w:rPr>
                    </w:pPr>
                    <w:r>
                      <w:rPr>
                        <w:b/>
                        <w:sz w:val="20"/>
                      </w:rPr>
                      <w:t>TURBO</w:t>
                    </w:r>
                    <w:r>
                      <w:rPr>
                        <w:b/>
                        <w:spacing w:val="-6"/>
                        <w:sz w:val="20"/>
                      </w:rPr>
                      <w:t xml:space="preserve"> </w:t>
                    </w:r>
                    <w:r>
                      <w:rPr>
                        <w:sz w:val="20"/>
                      </w:rPr>
                      <w:t>p-ISSN:</w:t>
                    </w:r>
                    <w:r>
                      <w:rPr>
                        <w:spacing w:val="-6"/>
                        <w:sz w:val="20"/>
                      </w:rPr>
                      <w:t xml:space="preserve"> </w:t>
                    </w:r>
                    <w:r>
                      <w:rPr>
                        <w:sz w:val="20"/>
                      </w:rPr>
                      <w:t>2301-6663,</w:t>
                    </w:r>
                    <w:r>
                      <w:rPr>
                        <w:spacing w:val="-5"/>
                        <w:sz w:val="20"/>
                      </w:rPr>
                      <w:t xml:space="preserve"> </w:t>
                    </w:r>
                    <w:r>
                      <w:rPr>
                        <w:sz w:val="20"/>
                      </w:rPr>
                      <w:t>e-ISSN:</w:t>
                    </w:r>
                    <w:r>
                      <w:rPr>
                        <w:spacing w:val="-6"/>
                        <w:sz w:val="20"/>
                      </w:rPr>
                      <w:t xml:space="preserve"> </w:t>
                    </w:r>
                    <w:r>
                      <w:rPr>
                        <w:sz w:val="20"/>
                      </w:rPr>
                      <w:t>2447-250X</w:t>
                    </w:r>
                    <w:r>
                      <w:rPr>
                        <w:spacing w:val="-4"/>
                        <w:sz w:val="20"/>
                      </w:rPr>
                      <w:t xml:space="preserve"> </w:t>
                    </w:r>
                    <w:r>
                      <w:rPr>
                        <w:sz w:val="20"/>
                      </w:rPr>
                      <w:t>Vol.</w:t>
                    </w:r>
                    <w:r>
                      <w:rPr>
                        <w:spacing w:val="-5"/>
                        <w:sz w:val="20"/>
                      </w:rPr>
                      <w:t xml:space="preserve"> </w:t>
                    </w:r>
                    <w:r>
                      <w:rPr>
                        <w:sz w:val="20"/>
                      </w:rPr>
                      <w:t>13,</w:t>
                    </w:r>
                    <w:r>
                      <w:rPr>
                        <w:spacing w:val="-5"/>
                        <w:sz w:val="20"/>
                      </w:rPr>
                      <w:t xml:space="preserve"> </w:t>
                    </w:r>
                    <w:r>
                      <w:rPr>
                        <w:sz w:val="20"/>
                      </w:rPr>
                      <w:t>No. 02,</w:t>
                    </w:r>
                    <w:r>
                      <w:rPr>
                        <w:spacing w:val="-5"/>
                        <w:sz w:val="20"/>
                      </w:rPr>
                      <w:t xml:space="preserve"> </w:t>
                    </w:r>
                    <w:r>
                      <w:rPr>
                        <w:spacing w:val="-4"/>
                        <w:sz w:val="20"/>
                      </w:rPr>
                      <w:t>2024</w:t>
                    </w:r>
                  </w:p>
                </w:txbxContent>
              </v:textbox>
            </v:shape>
          </w:pict>
        </mc:Fallback>
      </mc:AlternateContent>
    </w:r>
    <w:r>
      <w:rPr>
        <w:noProof/>
        <w:sz w:val="20"/>
      </w:rPr>
      <mc:AlternateContent>
        <mc:Choice Requires="wps">
          <w:drawing>
            <wp:anchor distT="0" distB="0" distL="0" distR="0" simplePos="0" relativeHeight="251678720" behindDoc="1" locked="0" layoutInCell="1" allowOverlap="1">
              <wp:simplePos x="0" y="0"/>
              <wp:positionH relativeFrom="page">
                <wp:posOffset>6390894</wp:posOffset>
              </wp:positionH>
              <wp:positionV relativeFrom="page">
                <wp:posOffset>10092862</wp:posOffset>
              </wp:positionV>
              <wp:extent cx="214629" cy="167640"/>
              <wp:effectExtent l="0" t="0" r="0" b="0"/>
              <wp:wrapNone/>
              <wp:docPr id="200" name="Textbox 200"/>
              <wp:cNvGraphicFramePr/>
              <a:graphic xmlns:a="http://schemas.openxmlformats.org/drawingml/2006/main">
                <a:graphicData uri="http://schemas.microsoft.com/office/word/2010/wordprocessingShape">
                  <wps:wsp xmlns:wps="http://schemas.microsoft.com/office/word/2010/wordprocessingShape">
                    <wps:cNvSpPr txBox="1"/>
                    <wps:spPr>
                      <a:xfrm>
                        <a:off x="0" y="0"/>
                        <a:ext cx="214629" cy="167640"/>
                      </a:xfrm>
                      <a:prstGeom prst="rect">
                        <a:avLst/>
                      </a:prstGeom>
                    </wps:spPr>
                    <wps:txbx>
                      <w:txbxContent>
                        <w:p w:rsidR="00063611" w14:textId="77777777">
                          <w:pPr>
                            <w:spacing w:before="13"/>
                            <w:ind w:left="20"/>
                            <w:rPr>
                              <w:sz w:val="20"/>
                            </w:rPr>
                          </w:pPr>
                          <w:r>
                            <w:rPr>
                              <w:spacing w:val="-5"/>
                              <w:sz w:val="20"/>
                            </w:rPr>
                            <w:t>227</w:t>
                          </w:r>
                        </w:p>
                      </w:txbxContent>
                    </wps:txbx>
                    <wps:bodyPr wrap="square" lIns="0" tIns="0" rIns="0" bIns="0" rtlCol="0"/>
                  </wps:wsp>
                </a:graphicData>
              </a:graphic>
            </wp:anchor>
          </w:drawing>
        </mc:Choice>
        <mc:Fallback>
          <w:pict>
            <v:shape id="Textbox 200" o:spid="_x0000_s2059" type="#_x0000_t202" style="width:16.9pt;height:13.2pt;margin-top:794.7pt;margin-left:503.2pt;mso-position-horizontal-relative:page;mso-position-vertical-relative:page;mso-wrap-distance-bottom:0;mso-wrap-distance-left:0;mso-wrap-distance-right:0;mso-wrap-distance-top:0;mso-wrap-style:square;position:absolute;v-text-anchor:top;visibility:visible;z-index:-251636736" filled="f" stroked="f">
              <v:textbox inset="0,0,0,0">
                <w:txbxContent>
                  <w:p w:rsidR="00063611" w14:paraId="64B41F81" w14:textId="77777777">
                    <w:pPr>
                      <w:spacing w:before="13"/>
                      <w:ind w:left="20"/>
                      <w:rPr>
                        <w:sz w:val="20"/>
                      </w:rPr>
                    </w:pPr>
                    <w:r>
                      <w:rPr>
                        <w:spacing w:val="-5"/>
                        <w:sz w:val="20"/>
                      </w:rPr>
                      <w:t>227</w:t>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65863F8"/>
    <w:multiLevelType w:val="hybridMultilevel"/>
    <w:tmpl w:val="E200CBF4"/>
    <w:lvl w:ilvl="0">
      <w:start w:val="1"/>
      <w:numFmt w:val="decimal"/>
      <w:lvlText w:val="%1."/>
      <w:lvlJc w:val="left"/>
      <w:pPr>
        <w:ind w:left="1701" w:hanging="284"/>
      </w:pPr>
      <w:rPr>
        <w:rFonts w:ascii="Times New Roman" w:eastAsia="Times New Roman" w:hAnsi="Times New Roman" w:cs="Times New Roman" w:hint="default"/>
        <w:b/>
        <w:bCs/>
        <w:i w:val="0"/>
        <w:iCs w:val="0"/>
        <w:spacing w:val="0"/>
        <w:w w:val="100"/>
        <w:sz w:val="24"/>
        <w:szCs w:val="24"/>
        <w:lang w:val="en-US" w:eastAsia="en-US" w:bidi="ar-SA"/>
      </w:rPr>
    </w:lvl>
    <w:lvl w:ilvl="1">
      <w:start w:val="0"/>
      <w:numFmt w:val="bullet"/>
      <w:lvlText w:val="•"/>
      <w:lvlJc w:val="left"/>
      <w:pPr>
        <w:ind w:left="839" w:hanging="284"/>
      </w:pPr>
      <w:rPr>
        <w:rFonts w:hint="default"/>
        <w:lang w:val="en-US" w:eastAsia="en-US" w:bidi="ar-SA"/>
      </w:rPr>
    </w:lvl>
    <w:lvl w:ilvl="2">
      <w:start w:val="0"/>
      <w:numFmt w:val="bullet"/>
      <w:lvlText w:val="•"/>
      <w:lvlJc w:val="left"/>
      <w:pPr>
        <w:ind w:left="1239" w:hanging="284"/>
      </w:pPr>
      <w:rPr>
        <w:rFonts w:hint="default"/>
        <w:lang w:val="en-US" w:eastAsia="en-US" w:bidi="ar-SA"/>
      </w:rPr>
    </w:lvl>
    <w:lvl w:ilvl="3">
      <w:start w:val="0"/>
      <w:numFmt w:val="bullet"/>
      <w:lvlText w:val="•"/>
      <w:lvlJc w:val="left"/>
      <w:pPr>
        <w:ind w:left="1639" w:hanging="284"/>
      </w:pPr>
      <w:rPr>
        <w:rFonts w:hint="default"/>
        <w:lang w:val="en-US" w:eastAsia="en-US" w:bidi="ar-SA"/>
      </w:rPr>
    </w:lvl>
    <w:lvl w:ilvl="4">
      <w:start w:val="0"/>
      <w:numFmt w:val="bullet"/>
      <w:lvlText w:val="•"/>
      <w:lvlJc w:val="left"/>
      <w:pPr>
        <w:ind w:left="2039" w:hanging="284"/>
      </w:pPr>
      <w:rPr>
        <w:rFonts w:hint="default"/>
        <w:lang w:val="en-US" w:eastAsia="en-US" w:bidi="ar-SA"/>
      </w:rPr>
    </w:lvl>
    <w:lvl w:ilvl="5">
      <w:start w:val="0"/>
      <w:numFmt w:val="bullet"/>
      <w:lvlText w:val="•"/>
      <w:lvlJc w:val="left"/>
      <w:pPr>
        <w:ind w:left="2439" w:hanging="284"/>
      </w:pPr>
      <w:rPr>
        <w:rFonts w:hint="default"/>
        <w:lang w:val="en-US" w:eastAsia="en-US" w:bidi="ar-SA"/>
      </w:rPr>
    </w:lvl>
    <w:lvl w:ilvl="6">
      <w:start w:val="0"/>
      <w:numFmt w:val="bullet"/>
      <w:lvlText w:val="•"/>
      <w:lvlJc w:val="left"/>
      <w:pPr>
        <w:ind w:left="2839" w:hanging="284"/>
      </w:pPr>
      <w:rPr>
        <w:rFonts w:hint="default"/>
        <w:lang w:val="en-US" w:eastAsia="en-US" w:bidi="ar-SA"/>
      </w:rPr>
    </w:lvl>
    <w:lvl w:ilvl="7">
      <w:start w:val="0"/>
      <w:numFmt w:val="bullet"/>
      <w:lvlText w:val="•"/>
      <w:lvlJc w:val="left"/>
      <w:pPr>
        <w:ind w:left="3239" w:hanging="284"/>
      </w:pPr>
      <w:rPr>
        <w:rFonts w:hint="default"/>
        <w:lang w:val="en-US" w:eastAsia="en-US" w:bidi="ar-SA"/>
      </w:rPr>
    </w:lvl>
    <w:lvl w:ilvl="8">
      <w:start w:val="0"/>
      <w:numFmt w:val="bullet"/>
      <w:lvlText w:val="•"/>
      <w:lvlJc w:val="left"/>
      <w:pPr>
        <w:ind w:left="3639" w:hanging="284"/>
      </w:pPr>
      <w:rPr>
        <w:rFonts w:hint="default"/>
        <w:lang w:val="en-US" w:eastAsia="en-US" w:bidi="ar-SA"/>
      </w:rPr>
    </w:lvl>
  </w:abstractNum>
  <w:num w:numId="1" w16cid:durableId="123692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611"/>
    <w:rsid w:val="00030CA6"/>
    <w:rsid w:val="000555CD"/>
    <w:rsid w:val="00063611"/>
    <w:rsid w:val="0007113B"/>
    <w:rsid w:val="00086A8D"/>
    <w:rsid w:val="000B3CF9"/>
    <w:rsid w:val="000F7367"/>
    <w:rsid w:val="0011086F"/>
    <w:rsid w:val="001137FD"/>
    <w:rsid w:val="001844ED"/>
    <w:rsid w:val="00196C69"/>
    <w:rsid w:val="001A7266"/>
    <w:rsid w:val="0024454C"/>
    <w:rsid w:val="00256411"/>
    <w:rsid w:val="002577D3"/>
    <w:rsid w:val="00330ED8"/>
    <w:rsid w:val="00347BB0"/>
    <w:rsid w:val="00386C50"/>
    <w:rsid w:val="003A1307"/>
    <w:rsid w:val="003B0F8E"/>
    <w:rsid w:val="003B5BAC"/>
    <w:rsid w:val="003D7CD3"/>
    <w:rsid w:val="003E05E2"/>
    <w:rsid w:val="0044583E"/>
    <w:rsid w:val="00457EFC"/>
    <w:rsid w:val="00477C60"/>
    <w:rsid w:val="004B7272"/>
    <w:rsid w:val="00547193"/>
    <w:rsid w:val="00561662"/>
    <w:rsid w:val="00562CA4"/>
    <w:rsid w:val="00571A75"/>
    <w:rsid w:val="005967D0"/>
    <w:rsid w:val="005C6220"/>
    <w:rsid w:val="005D768E"/>
    <w:rsid w:val="0061214D"/>
    <w:rsid w:val="00613741"/>
    <w:rsid w:val="006243ED"/>
    <w:rsid w:val="00650035"/>
    <w:rsid w:val="00650E17"/>
    <w:rsid w:val="006679DE"/>
    <w:rsid w:val="00685E9E"/>
    <w:rsid w:val="006C02BB"/>
    <w:rsid w:val="006D25FE"/>
    <w:rsid w:val="006D4C92"/>
    <w:rsid w:val="006E3103"/>
    <w:rsid w:val="007C56BE"/>
    <w:rsid w:val="007C794D"/>
    <w:rsid w:val="007E056D"/>
    <w:rsid w:val="00807104"/>
    <w:rsid w:val="00817407"/>
    <w:rsid w:val="00822B97"/>
    <w:rsid w:val="0082671B"/>
    <w:rsid w:val="0082685D"/>
    <w:rsid w:val="008345D9"/>
    <w:rsid w:val="00841EAA"/>
    <w:rsid w:val="00861090"/>
    <w:rsid w:val="00870229"/>
    <w:rsid w:val="00880DEE"/>
    <w:rsid w:val="008A0E15"/>
    <w:rsid w:val="00905415"/>
    <w:rsid w:val="0092286A"/>
    <w:rsid w:val="009464A9"/>
    <w:rsid w:val="00951898"/>
    <w:rsid w:val="00953CBA"/>
    <w:rsid w:val="009B488E"/>
    <w:rsid w:val="009D0405"/>
    <w:rsid w:val="009F5A49"/>
    <w:rsid w:val="00A1528E"/>
    <w:rsid w:val="00A36689"/>
    <w:rsid w:val="00A458D2"/>
    <w:rsid w:val="00AA2E3F"/>
    <w:rsid w:val="00AC2DC3"/>
    <w:rsid w:val="00AE175D"/>
    <w:rsid w:val="00AE7637"/>
    <w:rsid w:val="00B278E6"/>
    <w:rsid w:val="00B33285"/>
    <w:rsid w:val="00B74485"/>
    <w:rsid w:val="00B87A0B"/>
    <w:rsid w:val="00B91EA3"/>
    <w:rsid w:val="00B927A2"/>
    <w:rsid w:val="00BA6EA3"/>
    <w:rsid w:val="00BE25FA"/>
    <w:rsid w:val="00C14B39"/>
    <w:rsid w:val="00C56F04"/>
    <w:rsid w:val="00C66D43"/>
    <w:rsid w:val="00C76346"/>
    <w:rsid w:val="00CB37CA"/>
    <w:rsid w:val="00CD266F"/>
    <w:rsid w:val="00CE47B6"/>
    <w:rsid w:val="00CF0847"/>
    <w:rsid w:val="00D65939"/>
    <w:rsid w:val="00D65C0C"/>
    <w:rsid w:val="00D9445A"/>
    <w:rsid w:val="00D948FC"/>
    <w:rsid w:val="00DD78B2"/>
    <w:rsid w:val="00DE00A0"/>
    <w:rsid w:val="00DE5E99"/>
    <w:rsid w:val="00E27E38"/>
    <w:rsid w:val="00E32917"/>
    <w:rsid w:val="00E42D46"/>
    <w:rsid w:val="00E91260"/>
    <w:rsid w:val="00F4601D"/>
    <w:rsid w:val="00F827CC"/>
    <w:rsid w:val="00F84A5C"/>
    <w:rsid w:val="00FC058C"/>
    <w:rsid w:val="00FD0DC7"/>
    <w:rsid w:val="00FE3CC9"/>
    <w:rsid w:val="00FF33D0"/>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14:docId w14:val="62C808F2"/>
  <w15:docId w15:val="{76C86A24-EBFE-4EEB-800A-FC18B0EE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5"/>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0"/>
    <w:qFormat/>
    <w:pPr>
      <w:spacing w:before="178"/>
      <w:ind w:left="321" w:right="464"/>
      <w:jc w:val="center"/>
    </w:pPr>
    <w:rPr>
      <w:rFonts w:ascii="Arial" w:eastAsia="Arial" w:hAnsi="Arial" w:cs="Arial"/>
      <w:b/>
      <w:bCs/>
      <w:sz w:val="28"/>
      <w:szCs w:val="28"/>
    </w:rPr>
  </w:style>
  <w:style w:type="paragraph" w:styleId="ListParagraph">
    <w:name w:val="List Paragraph"/>
    <w:basedOn w:val="Normal"/>
    <w:uiPriority w:val="1"/>
    <w:qFormat/>
    <w:pPr>
      <w:ind w:left="804" w:hanging="639"/>
      <w:jc w:val="both"/>
    </w:pPr>
  </w:style>
  <w:style w:type="character" w:styleId="Hyperlink">
    <w:name w:val="Hyperlink"/>
    <w:basedOn w:val="DefaultParagraphFont"/>
    <w:uiPriority w:val="99"/>
    <w:unhideWhenUsed/>
    <w:rsid w:val="00C56F04"/>
    <w:rPr>
      <w:color w:val="0000FF" w:themeColor="hyperlink"/>
      <w:u w:val="single"/>
    </w:rPr>
  </w:style>
  <w:style w:type="character" w:styleId="UnresolvedMention">
    <w:name w:val="Unresolved Mention"/>
    <w:basedOn w:val="DefaultParagraphFont"/>
    <w:uiPriority w:val="99"/>
    <w:semiHidden/>
    <w:unhideWhenUsed/>
    <w:rsid w:val="00C56F04"/>
    <w:rPr>
      <w:color w:val="605E5C"/>
      <w:shd w:val="clear" w:color="auto" w:fill="E1DFDD"/>
    </w:rPr>
  </w:style>
  <w:style w:type="paragraph" w:styleId="Header">
    <w:name w:val="header"/>
    <w:basedOn w:val="Normal"/>
    <w:link w:val="HeaderChar"/>
    <w:uiPriority w:val="99"/>
    <w:unhideWhenUsed/>
    <w:rsid w:val="007C794D"/>
    <w:pPr>
      <w:tabs>
        <w:tab w:val="center" w:pos="4680"/>
        <w:tab w:val="right" w:pos="9360"/>
      </w:tabs>
    </w:pPr>
  </w:style>
  <w:style w:type="character" w:customStyle="1" w:styleId="HeaderChar">
    <w:name w:val="Header Char"/>
    <w:basedOn w:val="DefaultParagraphFont"/>
    <w:link w:val="Header"/>
    <w:uiPriority w:val="99"/>
    <w:rsid w:val="007C794D"/>
    <w:rPr>
      <w:rFonts w:ascii="Times New Roman" w:eastAsia="Times New Roman" w:hAnsi="Times New Roman" w:cs="Times New Roman"/>
    </w:rPr>
  </w:style>
  <w:style w:type="paragraph" w:styleId="Footer">
    <w:name w:val="footer"/>
    <w:basedOn w:val="Normal"/>
    <w:link w:val="FooterChar"/>
    <w:uiPriority w:val="99"/>
    <w:unhideWhenUsed/>
    <w:rsid w:val="007C794D"/>
    <w:pPr>
      <w:tabs>
        <w:tab w:val="center" w:pos="4680"/>
        <w:tab w:val="right" w:pos="9360"/>
      </w:tabs>
    </w:pPr>
  </w:style>
  <w:style w:type="character" w:customStyle="1" w:styleId="FooterChar">
    <w:name w:val="Footer Char"/>
    <w:basedOn w:val="DefaultParagraphFont"/>
    <w:link w:val="Footer"/>
    <w:uiPriority w:val="99"/>
    <w:rsid w:val="007C794D"/>
    <w:rPr>
      <w:rFonts w:ascii="Times New Roman" w:eastAsia="Times New Roman" w:hAnsi="Times New Roman" w:cs="Times New Roman"/>
    </w:rPr>
  </w:style>
  <w:style w:type="paragraph" w:styleId="NormalWeb">
    <w:name w:val="Normal (Web)"/>
    <w:basedOn w:val="Normal"/>
    <w:uiPriority w:val="99"/>
    <w:semiHidden/>
    <w:unhideWhenUsed/>
    <w:rsid w:val="00E27E38"/>
    <w:rPr>
      <w:sz w:val="24"/>
      <w:szCs w:val="24"/>
    </w:rPr>
  </w:style>
  <w:style w:type="table" w:styleId="TableGrid">
    <w:name w:val="Table Grid"/>
    <w:basedOn w:val="TableNormal"/>
    <w:uiPriority w:val="39"/>
    <w:rsid w:val="00861090"/>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jpe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footer" Target="footer3.xml" /><Relationship Id="rId22" Type="http://schemas.openxmlformats.org/officeDocument/2006/relationships/footer" Target="footer4.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ojs.ummetro.ac.id/index.php/turbo" TargetMode="External" /><Relationship Id="rId6" Type="http://schemas.openxmlformats.org/officeDocument/2006/relationships/hyperlink" Target="mailto:darnotec@umpo.ac.id"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06D81-01E9-42CC-BF04-E47C958A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22363</Words>
  <Characters>127473</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The title of your paper</vt:lpstr>
    </vt:vector>
  </TitlesOfParts>
  <Company/>
  <LinksUpToDate>false</LinksUpToDate>
  <CharactersWithSpaces>149537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creator>IYAN</dc:creator>
  <cp:lastModifiedBy>DELL</cp:lastModifiedBy>
  <cp:revision>5</cp:revision>
  <dcterms:created xsi:type="dcterms:W3CDTF">2025-04-13T03:10:00Z</dcterms:created>
  <dcterms:modified xsi:type="dcterms:W3CDTF">2025-04-13T04:40:00Z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2024-11-29T00:00:00Z</vt:filetime>
  </property>
  <property fmtid="{D5CDD505-2E9C-101B-9397-08002B2CF9AE}" pid="3" name="Creator">
    <vt:lpwstr>Microsoft® Word LTSC</vt:lpwstr>
  </property>
  <property fmtid="{D5CDD505-2E9C-101B-9397-08002B2CF9AE}" pid="4" name="LastSaved">
    <vt:filetime>2025-03-02T00:00:00Z</vt:filetime>
  </property>
  <property fmtid="{D5CDD505-2E9C-101B-9397-08002B2CF9AE}" pid="5" name="Mendeley Citation Style_1">
    <vt:lpwstr>http://www.zotero.org/styles/ieee</vt:lpwstr>
  </property>
  <property fmtid="{D5CDD505-2E9C-101B-9397-08002B2CF9AE}" pid="6" name="Mendeley Document_1">
    <vt:lpwstr>True</vt:lpwstr>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http://www.zotero.org/styles/vancouver</vt:lpwstr>
  </property>
  <property fmtid="{D5CDD505-2E9C-101B-9397-08002B2CF9AE}" pid="17" name="Mendeley Recent Style Name 0_1">
    <vt:lpwstr>American Medical Association 11th edition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7th edition</vt:lpwstr>
  </property>
  <property fmtid="{D5CDD505-2E9C-101B-9397-08002B2CF9AE}" pid="20" name="Mendeley Recent Style Name 3_1">
    <vt:lpwstr>American Sociological Association 6th edition</vt:lpwstr>
  </property>
  <property fmtid="{D5CDD505-2E9C-101B-9397-08002B2CF9AE}" pid="21" name="Mendeley Recent Style Name 4_1">
    <vt:lpwstr>Chicago Manual of Style 17th edition (author-date)</vt:lpwstr>
  </property>
  <property fmtid="{D5CDD505-2E9C-101B-9397-08002B2CF9AE}" pid="22" name="Mendeley Recent Style Name 5_1">
    <vt:lpwstr>Cite Them Right 12th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9th edition</vt:lpwstr>
  </property>
  <property fmtid="{D5CDD505-2E9C-101B-9397-08002B2CF9AE}" pid="26" name="Mendeley Recent Style Name 9_1">
    <vt:lpwstr>Vancouver</vt:lpwstr>
  </property>
  <property fmtid="{D5CDD505-2E9C-101B-9397-08002B2CF9AE}" pid="27" name="Mendeley Unique User Id_1">
    <vt:lpwstr>5af0f273-c2bb-3d1c-a8a0-6e9fc9150817</vt:lpwstr>
  </property>
  <property fmtid="{D5CDD505-2E9C-101B-9397-08002B2CF9AE}" pid="28" name="Producer">
    <vt:lpwstr>Microsoft® Word LTSC</vt:lpwstr>
  </property>
</Properties>
</file>